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jc w:val="center"/>
        <w:rPr>
          <w:b/>
          <w:bCs/>
          <w:sz w:val="84"/>
          <w:szCs w:val="84"/>
        </w:rPr>
      </w:pPr>
      <w:r>
        <w:rPr>
          <w:rFonts w:hint="eastAsia"/>
          <w:b/>
          <w:bCs/>
          <w:sz w:val="84"/>
          <w:szCs w:val="84"/>
        </w:rPr>
        <w:t>资   讯   简   报</w:t>
      </w:r>
    </w:p>
    <w:p>
      <w:pPr>
        <w:jc w:val="center"/>
        <w:rPr>
          <w:b/>
          <w:bCs/>
          <w:sz w:val="52"/>
          <w:szCs w:val="52"/>
        </w:rPr>
      </w:pPr>
    </w:p>
    <w:p>
      <w:pPr>
        <w:jc w:val="center"/>
        <w:rPr>
          <w:b/>
          <w:bCs/>
          <w:sz w:val="52"/>
          <w:szCs w:val="52"/>
        </w:rPr>
      </w:pPr>
    </w:p>
    <w:p>
      <w:pPr>
        <w:rPr>
          <w:rFonts w:ascii="宋体" w:hAnsi="宋体" w:cs="宋体"/>
          <w:sz w:val="24"/>
          <w:szCs w:val="24"/>
        </w:rPr>
      </w:pPr>
    </w:p>
    <w:p>
      <w:pPr>
        <w:jc w:val="center"/>
        <w:rPr>
          <w:rFonts w:ascii="宋体" w:hAnsi="宋体" w:cs="宋体"/>
          <w:sz w:val="24"/>
          <w:szCs w:val="24"/>
        </w:rPr>
      </w:pPr>
    </w:p>
    <w:p>
      <w:pPr>
        <w:jc w:val="center"/>
        <w:rPr>
          <w:rFonts w:ascii="宋体" w:hAnsi="宋体" w:cs="宋体"/>
          <w:sz w:val="24"/>
          <w:szCs w:val="24"/>
        </w:rPr>
      </w:pPr>
    </w:p>
    <w:p>
      <w:pPr>
        <w:jc w:val="center"/>
        <w:rPr>
          <w:b/>
          <w:bCs/>
          <w:sz w:val="52"/>
          <w:szCs w:val="52"/>
        </w:rPr>
      </w:pPr>
    </w:p>
    <w:p>
      <w:pPr>
        <w:jc w:val="center"/>
        <w:rPr>
          <w:b/>
          <w:bCs/>
          <w:sz w:val="52"/>
          <w:szCs w:val="52"/>
        </w:rPr>
      </w:pPr>
      <w:r>
        <w:rPr>
          <w:rFonts w:hint="eastAsia" w:ascii="宋体" w:hAnsi="宋体" w:cs="宋体"/>
          <w:sz w:val="24"/>
          <w:szCs w:val="24"/>
        </w:rPr>
        <w:drawing>
          <wp:inline distT="0" distB="0" distL="0" distR="0">
            <wp:extent cx="1304925" cy="1114425"/>
            <wp:effectExtent l="19050" t="0" r="9525" b="0"/>
            <wp:docPr id="27"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descr="图片1"/>
                    <pic:cNvPicPr>
                      <a:picLocks noChangeAspect="1" noChangeArrowheads="1"/>
                    </pic:cNvPicPr>
                  </pic:nvPicPr>
                  <pic:blipFill>
                    <a:blip r:embed="rId6" cstate="print"/>
                    <a:srcRect/>
                    <a:stretch>
                      <a:fillRect/>
                    </a:stretch>
                  </pic:blipFill>
                  <pic:spPr>
                    <a:xfrm>
                      <a:off x="0" y="0"/>
                      <a:ext cx="1304925" cy="1114425"/>
                    </a:xfrm>
                    <a:prstGeom prst="rect">
                      <a:avLst/>
                    </a:prstGeom>
                    <a:noFill/>
                    <a:ln w="9525">
                      <a:noFill/>
                      <a:miter lim="800000"/>
                      <a:headEnd/>
                      <a:tailEnd/>
                    </a:ln>
                  </pic:spPr>
                </pic:pic>
              </a:graphicData>
            </a:graphic>
          </wp:inline>
        </w:drawing>
      </w:r>
    </w:p>
    <w:p>
      <w:pPr>
        <w:rPr>
          <w:b/>
          <w:bCs/>
          <w:sz w:val="48"/>
          <w:szCs w:val="48"/>
        </w:rPr>
      </w:pPr>
      <w:r>
        <w:rPr>
          <w:rFonts w:hint="eastAsia" w:ascii="宋体" w:hAnsi="宋体" w:cs="宋体"/>
          <w:sz w:val="24"/>
          <w:szCs w:val="24"/>
        </w:rPr>
        <w:t xml:space="preserve">                           </w:t>
      </w:r>
    </w:p>
    <w:p>
      <w:pPr>
        <w:rPr>
          <w:b/>
          <w:bCs/>
          <w:sz w:val="48"/>
          <w:szCs w:val="48"/>
        </w:rPr>
      </w:pPr>
    </w:p>
    <w:p>
      <w:pPr>
        <w:jc w:val="center"/>
        <w:rPr>
          <w:b/>
          <w:bCs/>
          <w:sz w:val="48"/>
          <w:szCs w:val="48"/>
        </w:rPr>
      </w:pPr>
    </w:p>
    <w:p>
      <w:pPr>
        <w:jc w:val="center"/>
        <w:rPr>
          <w:b/>
          <w:bCs/>
          <w:sz w:val="48"/>
          <w:szCs w:val="48"/>
        </w:rPr>
      </w:pPr>
    </w:p>
    <w:p>
      <w:pPr>
        <w:jc w:val="center"/>
        <w:rPr>
          <w:b/>
          <w:bCs/>
          <w:sz w:val="48"/>
          <w:szCs w:val="48"/>
        </w:rPr>
      </w:pPr>
    </w:p>
    <w:p>
      <w:pPr>
        <w:jc w:val="center"/>
        <w:rPr>
          <w:b/>
          <w:bCs/>
          <w:sz w:val="48"/>
          <w:szCs w:val="48"/>
        </w:rPr>
      </w:pPr>
    </w:p>
    <w:p>
      <w:pPr>
        <w:rPr>
          <w:b/>
          <w:bCs/>
          <w:sz w:val="48"/>
          <w:szCs w:val="48"/>
        </w:rPr>
      </w:pPr>
    </w:p>
    <w:p>
      <w:pPr>
        <w:jc w:val="center"/>
        <w:rPr>
          <w:b/>
          <w:bCs/>
          <w:sz w:val="30"/>
          <w:szCs w:val="30"/>
        </w:rPr>
      </w:pPr>
      <w:r>
        <w:rPr>
          <w:rFonts w:hint="eastAsia"/>
          <w:b/>
          <w:bCs/>
          <w:sz w:val="30"/>
          <w:szCs w:val="30"/>
        </w:rPr>
        <w:t>二零一六年三月二十一日</w:t>
      </w:r>
    </w:p>
    <w:p>
      <w:pPr>
        <w:jc w:val="center"/>
        <w:rPr>
          <w:b/>
          <w:bCs/>
          <w:sz w:val="30"/>
          <w:szCs w:val="30"/>
        </w:rPr>
      </w:pPr>
    </w:p>
    <w:p>
      <w:pPr>
        <w:jc w:val="center"/>
        <w:rPr>
          <w:b/>
          <w:bCs/>
          <w:sz w:val="30"/>
          <w:szCs w:val="30"/>
        </w:rPr>
      </w:pPr>
    </w:p>
    <w:p>
      <w:pPr>
        <w:jc w:val="center"/>
        <w:rPr>
          <w:b/>
          <w:bCs/>
          <w:sz w:val="52"/>
          <w:szCs w:val="52"/>
        </w:rPr>
      </w:pPr>
      <w:r>
        <w:rPr>
          <w:rFonts w:hint="eastAsia"/>
          <w:b/>
          <w:bCs/>
          <w:sz w:val="52"/>
          <w:szCs w:val="52"/>
        </w:rPr>
        <w:t>目      录</w:t>
      </w:r>
      <w:bookmarkStart w:id="0" w:name="_Toc436147455"/>
      <w:r>
        <w:rPr>
          <w:b/>
          <w:bCs/>
          <w:sz w:val="52"/>
          <w:szCs w:val="52"/>
        </w:rPr>
        <w:fldChar w:fldCharType="begin"/>
      </w:r>
      <w:r>
        <w:rPr>
          <w:b/>
          <w:bCs/>
          <w:sz w:val="52"/>
          <w:szCs w:val="52"/>
        </w:rPr>
        <w:instrText xml:space="preserve"> </w:instrText>
      </w:r>
      <w:r>
        <w:rPr>
          <w:rFonts w:hint="eastAsia"/>
          <w:b/>
          <w:bCs/>
          <w:sz w:val="52"/>
          <w:szCs w:val="52"/>
        </w:rPr>
        <w:instrText xml:space="preserve">TOC \o "1-3" \h \z \u</w:instrText>
      </w:r>
      <w:r>
        <w:rPr>
          <w:b/>
          <w:bCs/>
          <w:sz w:val="52"/>
          <w:szCs w:val="52"/>
        </w:rPr>
        <w:instrText xml:space="preserve"> </w:instrText>
      </w:r>
      <w:r>
        <w:rPr>
          <w:b/>
          <w:bCs/>
          <w:sz w:val="52"/>
          <w:szCs w:val="52"/>
        </w:rPr>
        <w:fldChar w:fldCharType="separate"/>
      </w:r>
    </w:p>
    <w:p>
      <w:pPr>
        <w:pStyle w:val="10"/>
        <w:tabs>
          <w:tab w:val="right" w:leader="dot" w:pos="8296"/>
        </w:tabs>
        <w:rPr>
          <w:kern w:val="2"/>
          <w:sz w:val="21"/>
        </w:rPr>
      </w:pPr>
      <w:r>
        <w:fldChar w:fldCharType="begin"/>
      </w:r>
      <w:r>
        <w:instrText xml:space="preserve"> HYPERLINK \l "_Toc446330713" </w:instrText>
      </w:r>
      <w:r>
        <w:fldChar w:fldCharType="separate"/>
      </w:r>
      <w:r>
        <w:rPr>
          <w:rStyle w:val="15"/>
          <w:rFonts w:hint="eastAsia"/>
          <w:b/>
          <w:sz w:val="28"/>
          <w:szCs w:val="28"/>
        </w:rPr>
        <w:t>协会讯息</w:t>
      </w:r>
      <w:r>
        <w:tab/>
      </w:r>
      <w:r>
        <w:fldChar w:fldCharType="begin"/>
      </w:r>
      <w:r>
        <w:instrText xml:space="preserve"> PAGEREF _Toc446330713 \h </w:instrText>
      </w:r>
      <w:r>
        <w:fldChar w:fldCharType="separate"/>
      </w:r>
      <w:r>
        <w:t>4</w:t>
      </w:r>
      <w:r>
        <w:fldChar w:fldCharType="end"/>
      </w:r>
      <w:r>
        <w:fldChar w:fldCharType="end"/>
      </w:r>
    </w:p>
    <w:p>
      <w:pPr>
        <w:pStyle w:val="11"/>
        <w:tabs>
          <w:tab w:val="right" w:leader="dot" w:pos="8296"/>
        </w:tabs>
        <w:rPr>
          <w:kern w:val="2"/>
          <w:sz w:val="21"/>
        </w:rPr>
      </w:pPr>
      <w:r>
        <w:fldChar w:fldCharType="begin"/>
      </w:r>
      <w:r>
        <w:instrText xml:space="preserve"> HYPERLINK \l "_Toc446330714" </w:instrText>
      </w:r>
      <w:r>
        <w:fldChar w:fldCharType="separate"/>
      </w:r>
      <w:r>
        <w:rPr>
          <w:rStyle w:val="15"/>
          <w:rFonts w:asciiTheme="minorEastAsia" w:hAnsiTheme="minorEastAsia"/>
        </w:rPr>
        <w:t>2015</w:t>
      </w:r>
      <w:r>
        <w:rPr>
          <w:rStyle w:val="15"/>
          <w:rFonts w:hint="eastAsia" w:asciiTheme="minorEastAsia" w:hAnsiTheme="minorEastAsia"/>
        </w:rPr>
        <w:t>年北京市租赁行业工作总结会</w:t>
      </w:r>
      <w:r>
        <w:rPr>
          <w:rStyle w:val="15"/>
          <w:rFonts w:asciiTheme="minorEastAsia" w:hAnsiTheme="minorEastAsia"/>
        </w:rPr>
        <w:t> </w:t>
      </w:r>
      <w:r>
        <w:rPr>
          <w:rStyle w:val="15"/>
          <w:rFonts w:hint="eastAsia" w:asciiTheme="minorEastAsia" w:hAnsiTheme="minorEastAsia"/>
        </w:rPr>
        <w:t>暨京津冀一体化融资租赁聚集区交流会</w:t>
      </w:r>
      <w:r>
        <w:rPr>
          <w:rStyle w:val="15"/>
          <w:rFonts w:asciiTheme="minorEastAsia" w:hAnsiTheme="minorEastAsia"/>
        </w:rPr>
        <w:t xml:space="preserve"> ---</w:t>
      </w:r>
      <w:r>
        <w:rPr>
          <w:rStyle w:val="15"/>
          <w:rFonts w:hint="eastAsia" w:asciiTheme="minorEastAsia" w:hAnsiTheme="minorEastAsia"/>
        </w:rPr>
        <w:t>第四届京交会金融服务板块融资租赁专题前期推介会召开</w:t>
      </w:r>
      <w:r>
        <w:tab/>
      </w:r>
      <w:r>
        <w:fldChar w:fldCharType="begin"/>
      </w:r>
      <w:r>
        <w:instrText xml:space="preserve"> PAGEREF _Toc446330714 \h </w:instrText>
      </w:r>
      <w:r>
        <w:fldChar w:fldCharType="separate"/>
      </w:r>
      <w:r>
        <w:t>4</w:t>
      </w:r>
      <w:r>
        <w:fldChar w:fldCharType="end"/>
      </w:r>
      <w:r>
        <w:fldChar w:fldCharType="end"/>
      </w:r>
    </w:p>
    <w:p>
      <w:pPr>
        <w:pStyle w:val="11"/>
        <w:tabs>
          <w:tab w:val="right" w:leader="dot" w:pos="8296"/>
        </w:tabs>
        <w:rPr>
          <w:kern w:val="2"/>
          <w:sz w:val="21"/>
        </w:rPr>
      </w:pPr>
      <w:r>
        <w:fldChar w:fldCharType="begin"/>
      </w:r>
      <w:r>
        <w:instrText xml:space="preserve"> HYPERLINK \l "_Toc446330715" </w:instrText>
      </w:r>
      <w:r>
        <w:fldChar w:fldCharType="separate"/>
      </w:r>
      <w:r>
        <w:rPr>
          <w:rStyle w:val="15"/>
          <w:rFonts w:hint="eastAsia"/>
        </w:rPr>
        <w:t>北京市商务委关于开展外资融资租赁企业风险排查的通知</w:t>
      </w:r>
      <w:r>
        <w:tab/>
      </w:r>
      <w:r>
        <w:fldChar w:fldCharType="begin"/>
      </w:r>
      <w:r>
        <w:instrText xml:space="preserve"> PAGEREF _Toc446330715 \h </w:instrText>
      </w:r>
      <w:r>
        <w:fldChar w:fldCharType="separate"/>
      </w:r>
      <w:r>
        <w:t>8</w:t>
      </w:r>
      <w:r>
        <w:fldChar w:fldCharType="end"/>
      </w:r>
      <w:r>
        <w:fldChar w:fldCharType="end"/>
      </w:r>
    </w:p>
    <w:p>
      <w:pPr>
        <w:pStyle w:val="11"/>
        <w:tabs>
          <w:tab w:val="right" w:leader="dot" w:pos="8296"/>
        </w:tabs>
        <w:rPr>
          <w:kern w:val="2"/>
          <w:sz w:val="21"/>
        </w:rPr>
      </w:pPr>
      <w:r>
        <w:fldChar w:fldCharType="begin"/>
      </w:r>
      <w:r>
        <w:instrText xml:space="preserve"> HYPERLINK \l "_Toc446330716" </w:instrText>
      </w:r>
      <w:r>
        <w:fldChar w:fldCharType="separate"/>
      </w:r>
      <w:r>
        <w:rPr>
          <w:rStyle w:val="15"/>
          <w:rFonts w:hint="eastAsia"/>
        </w:rPr>
        <w:t>北京开展外资融资租赁企业风险排查工作</w:t>
      </w:r>
      <w:r>
        <w:tab/>
      </w:r>
      <w:r>
        <w:fldChar w:fldCharType="begin"/>
      </w:r>
      <w:r>
        <w:instrText xml:space="preserve"> PAGEREF _Toc446330716 \h </w:instrText>
      </w:r>
      <w:r>
        <w:fldChar w:fldCharType="separate"/>
      </w:r>
      <w:r>
        <w:t>14</w:t>
      </w:r>
      <w:r>
        <w:fldChar w:fldCharType="end"/>
      </w:r>
      <w:r>
        <w:fldChar w:fldCharType="end"/>
      </w:r>
    </w:p>
    <w:p>
      <w:pPr>
        <w:pStyle w:val="11"/>
        <w:tabs>
          <w:tab w:val="right" w:leader="dot" w:pos="8296"/>
        </w:tabs>
        <w:rPr>
          <w:kern w:val="2"/>
          <w:sz w:val="21"/>
        </w:rPr>
      </w:pPr>
      <w:r>
        <w:fldChar w:fldCharType="begin"/>
      </w:r>
      <w:r>
        <w:instrText xml:space="preserve"> HYPERLINK \l "_Toc446330717" </w:instrText>
      </w:r>
      <w:r>
        <w:fldChar w:fldCharType="separate"/>
      </w:r>
      <w:r>
        <w:rPr>
          <w:rStyle w:val="15"/>
          <w:rFonts w:asciiTheme="minorEastAsia" w:hAnsiTheme="minorEastAsia"/>
        </w:rPr>
        <w:t>2015</w:t>
      </w:r>
      <w:r>
        <w:rPr>
          <w:rStyle w:val="15"/>
          <w:rFonts w:hint="eastAsia" w:asciiTheme="minorEastAsia" w:hAnsiTheme="minorEastAsia"/>
        </w:rPr>
        <w:t>年北京市融资租赁业发展状况数据发布</w:t>
      </w:r>
      <w:r>
        <w:tab/>
      </w:r>
      <w:r>
        <w:fldChar w:fldCharType="begin"/>
      </w:r>
      <w:r>
        <w:instrText xml:space="preserve"> PAGEREF _Toc446330717 \h </w:instrText>
      </w:r>
      <w:r>
        <w:fldChar w:fldCharType="separate"/>
      </w:r>
      <w:r>
        <w:t>16</w:t>
      </w:r>
      <w:r>
        <w:fldChar w:fldCharType="end"/>
      </w:r>
      <w:r>
        <w:fldChar w:fldCharType="end"/>
      </w:r>
    </w:p>
    <w:p>
      <w:pPr>
        <w:pStyle w:val="11"/>
        <w:tabs>
          <w:tab w:val="right" w:leader="dot" w:pos="8296"/>
        </w:tabs>
        <w:rPr>
          <w:kern w:val="2"/>
          <w:sz w:val="21"/>
        </w:rPr>
      </w:pPr>
      <w:r>
        <w:fldChar w:fldCharType="begin"/>
      </w:r>
      <w:r>
        <w:instrText xml:space="preserve"> HYPERLINK \l "_Toc446330718" </w:instrText>
      </w:r>
      <w:r>
        <w:fldChar w:fldCharType="separate"/>
      </w:r>
      <w:r>
        <w:rPr>
          <w:rStyle w:val="15"/>
          <w:rFonts w:asciiTheme="minorEastAsia" w:hAnsiTheme="minorEastAsia"/>
          <w:shd w:val="clear" w:color="auto" w:fill="FFFFFF"/>
        </w:rPr>
        <w:t>2016</w:t>
      </w:r>
      <w:r>
        <w:rPr>
          <w:rStyle w:val="15"/>
          <w:rFonts w:hint="eastAsia" w:asciiTheme="minorEastAsia" w:hAnsiTheme="minorEastAsia"/>
          <w:shd w:val="clear" w:color="auto" w:fill="FFFFFF"/>
        </w:rPr>
        <w:t>年首批融资租赁从业人员获得专业证书</w:t>
      </w:r>
      <w:r>
        <w:tab/>
      </w:r>
      <w:r>
        <w:fldChar w:fldCharType="begin"/>
      </w:r>
      <w:r>
        <w:instrText xml:space="preserve"> PAGEREF _Toc446330718 \h </w:instrText>
      </w:r>
      <w:r>
        <w:fldChar w:fldCharType="separate"/>
      </w:r>
      <w:r>
        <w:t>19</w:t>
      </w:r>
      <w:r>
        <w:fldChar w:fldCharType="end"/>
      </w:r>
      <w:r>
        <w:fldChar w:fldCharType="end"/>
      </w:r>
    </w:p>
    <w:p>
      <w:pPr>
        <w:pStyle w:val="11"/>
        <w:tabs>
          <w:tab w:val="right" w:leader="dot" w:pos="8296"/>
        </w:tabs>
        <w:rPr>
          <w:color w:val="0000FF" w:themeColor="hyperlink"/>
          <w:u w:val="single"/>
        </w:rPr>
      </w:pPr>
      <w:r>
        <w:fldChar w:fldCharType="begin"/>
      </w:r>
      <w:r>
        <w:instrText xml:space="preserve"> HYPERLINK \l "_Toc446330719" </w:instrText>
      </w:r>
      <w:r>
        <w:fldChar w:fldCharType="separate"/>
      </w:r>
      <w:r>
        <w:rPr>
          <w:rStyle w:val="15"/>
          <w:rFonts w:hint="eastAsia"/>
        </w:rPr>
        <w:t>北京市租赁行业协会严正声明</w:t>
      </w:r>
      <w:r>
        <w:tab/>
      </w:r>
      <w:r>
        <w:fldChar w:fldCharType="begin"/>
      </w:r>
      <w:r>
        <w:instrText xml:space="preserve"> PAGEREF _Toc446330719 \h </w:instrText>
      </w:r>
      <w:r>
        <w:fldChar w:fldCharType="separate"/>
      </w:r>
      <w:r>
        <w:t>20</w:t>
      </w:r>
      <w:r>
        <w:fldChar w:fldCharType="end"/>
      </w:r>
      <w:r>
        <w:fldChar w:fldCharType="end"/>
      </w:r>
    </w:p>
    <w:p>
      <w:pPr>
        <w:pStyle w:val="10"/>
        <w:tabs>
          <w:tab w:val="right" w:leader="dot" w:pos="8296"/>
        </w:tabs>
        <w:rPr>
          <w:kern w:val="2"/>
          <w:sz w:val="21"/>
        </w:rPr>
      </w:pPr>
      <w:r>
        <w:fldChar w:fldCharType="begin"/>
      </w:r>
      <w:r>
        <w:instrText xml:space="preserve"> HYPERLINK \l "_Toc446330720" </w:instrText>
      </w:r>
      <w:r>
        <w:fldChar w:fldCharType="separate"/>
      </w:r>
      <w:r>
        <w:rPr>
          <w:rStyle w:val="15"/>
          <w:rFonts w:hint="eastAsia"/>
          <w:b/>
          <w:sz w:val="28"/>
          <w:szCs w:val="28"/>
        </w:rPr>
        <w:t>会员动态</w:t>
      </w:r>
      <w:r>
        <w:tab/>
      </w:r>
      <w:r>
        <w:fldChar w:fldCharType="begin"/>
      </w:r>
      <w:r>
        <w:instrText xml:space="preserve"> PAGEREF _Toc446330720 \h </w:instrText>
      </w:r>
      <w:r>
        <w:fldChar w:fldCharType="separate"/>
      </w:r>
      <w:r>
        <w:t>21</w:t>
      </w:r>
      <w:r>
        <w:fldChar w:fldCharType="end"/>
      </w:r>
      <w:r>
        <w:fldChar w:fldCharType="end"/>
      </w:r>
    </w:p>
    <w:p>
      <w:pPr>
        <w:pStyle w:val="11"/>
        <w:tabs>
          <w:tab w:val="right" w:leader="dot" w:pos="8296"/>
        </w:tabs>
        <w:rPr>
          <w:kern w:val="2"/>
          <w:sz w:val="21"/>
        </w:rPr>
      </w:pPr>
      <w:r>
        <w:fldChar w:fldCharType="begin"/>
      </w:r>
      <w:r>
        <w:instrText xml:space="preserve"> HYPERLINK \l "_Toc446330721" </w:instrText>
      </w:r>
      <w:r>
        <w:fldChar w:fldCharType="separate"/>
      </w:r>
      <w:r>
        <w:rPr>
          <w:rStyle w:val="15"/>
          <w:rFonts w:hint="eastAsia"/>
        </w:rPr>
        <w:t>节能减排中心与北京恒嘉租赁建立战略合作关系</w:t>
      </w:r>
      <w:r>
        <w:tab/>
      </w:r>
      <w:r>
        <w:fldChar w:fldCharType="begin"/>
      </w:r>
      <w:r>
        <w:instrText xml:space="preserve"> PAGEREF _Toc446330721 \h </w:instrText>
      </w:r>
      <w:r>
        <w:fldChar w:fldCharType="separate"/>
      </w:r>
      <w:r>
        <w:t>21</w:t>
      </w:r>
      <w:r>
        <w:fldChar w:fldCharType="end"/>
      </w:r>
      <w:r>
        <w:fldChar w:fldCharType="end"/>
      </w:r>
    </w:p>
    <w:p>
      <w:pPr>
        <w:pStyle w:val="11"/>
        <w:tabs>
          <w:tab w:val="right" w:leader="dot" w:pos="8296"/>
        </w:tabs>
        <w:rPr>
          <w:kern w:val="2"/>
          <w:sz w:val="21"/>
        </w:rPr>
      </w:pPr>
      <w:r>
        <w:fldChar w:fldCharType="begin"/>
      </w:r>
      <w:r>
        <w:instrText xml:space="preserve"> HYPERLINK \l "_Toc446330722" </w:instrText>
      </w:r>
      <w:r>
        <w:fldChar w:fldCharType="separate"/>
      </w:r>
      <w:r>
        <w:rPr>
          <w:rStyle w:val="15"/>
          <w:rFonts w:hint="eastAsia"/>
        </w:rPr>
        <w:t>中联重科要约收购行业巨头特雷克斯</w:t>
      </w:r>
      <w:r>
        <w:rPr>
          <w:rStyle w:val="15"/>
        </w:rPr>
        <w:t xml:space="preserve"> </w:t>
      </w:r>
      <w:r>
        <w:rPr>
          <w:rStyle w:val="15"/>
          <w:rFonts w:hint="eastAsia"/>
        </w:rPr>
        <w:t>有望实现业务全球覆盖</w:t>
      </w:r>
      <w:r>
        <w:tab/>
      </w:r>
      <w:r>
        <w:fldChar w:fldCharType="begin"/>
      </w:r>
      <w:r>
        <w:instrText xml:space="preserve"> PAGEREF _Toc446330722 \h </w:instrText>
      </w:r>
      <w:r>
        <w:fldChar w:fldCharType="separate"/>
      </w:r>
      <w:r>
        <w:t>22</w:t>
      </w:r>
      <w:r>
        <w:fldChar w:fldCharType="end"/>
      </w:r>
      <w:r>
        <w:fldChar w:fldCharType="end"/>
      </w:r>
    </w:p>
    <w:p>
      <w:pPr>
        <w:pStyle w:val="11"/>
        <w:tabs>
          <w:tab w:val="right" w:leader="dot" w:pos="8296"/>
        </w:tabs>
        <w:rPr>
          <w:kern w:val="2"/>
          <w:sz w:val="21"/>
        </w:rPr>
      </w:pPr>
      <w:r>
        <w:fldChar w:fldCharType="begin"/>
      </w:r>
      <w:r>
        <w:instrText xml:space="preserve"> HYPERLINK \l "_Toc446330723" </w:instrText>
      </w:r>
      <w:r>
        <w:fldChar w:fldCharType="separate"/>
      </w:r>
      <w:r>
        <w:rPr>
          <w:rStyle w:val="15"/>
          <w:rFonts w:hint="eastAsia"/>
        </w:rPr>
        <w:t>反腐，民营企业不能置身事外</w:t>
      </w:r>
      <w:r>
        <w:tab/>
      </w:r>
      <w:r>
        <w:fldChar w:fldCharType="begin"/>
      </w:r>
      <w:r>
        <w:instrText xml:space="preserve"> PAGEREF _Toc446330723 \h </w:instrText>
      </w:r>
      <w:r>
        <w:fldChar w:fldCharType="separate"/>
      </w:r>
      <w:r>
        <w:t>23</w:t>
      </w:r>
      <w:r>
        <w:fldChar w:fldCharType="end"/>
      </w:r>
      <w:r>
        <w:fldChar w:fldCharType="end"/>
      </w:r>
    </w:p>
    <w:p>
      <w:pPr>
        <w:pStyle w:val="11"/>
        <w:tabs>
          <w:tab w:val="right" w:leader="dot" w:pos="8296"/>
        </w:tabs>
        <w:rPr>
          <w:color w:val="0000FF" w:themeColor="hyperlink"/>
          <w:u w:val="single"/>
        </w:rPr>
      </w:pPr>
      <w:r>
        <w:fldChar w:fldCharType="begin"/>
      </w:r>
      <w:r>
        <w:instrText xml:space="preserve"> HYPERLINK \l "_Toc446330724" </w:instrText>
      </w:r>
      <w:r>
        <w:fldChar w:fldCharType="separate"/>
      </w:r>
      <w:r>
        <w:rPr>
          <w:rStyle w:val="15"/>
          <w:rFonts w:hint="eastAsia" w:asciiTheme="minorEastAsia" w:hAnsiTheme="minorEastAsia"/>
        </w:rPr>
        <w:t>首汽租车收购瑞卡</w:t>
      </w:r>
      <w:r>
        <w:rPr>
          <w:rStyle w:val="15"/>
          <w:rFonts w:asciiTheme="minorEastAsia" w:hAnsiTheme="minorEastAsia"/>
        </w:rPr>
        <w:t>40%</w:t>
      </w:r>
      <w:r>
        <w:rPr>
          <w:rStyle w:val="15"/>
          <w:rFonts w:hint="eastAsia" w:asciiTheme="minorEastAsia" w:hAnsiTheme="minorEastAsia"/>
        </w:rPr>
        <w:t>股权，汽车租赁市场格局已定？</w:t>
      </w:r>
      <w:r>
        <w:tab/>
      </w:r>
      <w:r>
        <w:fldChar w:fldCharType="begin"/>
      </w:r>
      <w:r>
        <w:instrText xml:space="preserve"> PAGEREF _Toc446330724 \h </w:instrText>
      </w:r>
      <w:r>
        <w:fldChar w:fldCharType="separate"/>
      </w:r>
      <w:r>
        <w:t>27</w:t>
      </w:r>
      <w:r>
        <w:fldChar w:fldCharType="end"/>
      </w:r>
      <w:r>
        <w:fldChar w:fldCharType="end"/>
      </w:r>
    </w:p>
    <w:p>
      <w:pPr>
        <w:pStyle w:val="10"/>
        <w:tabs>
          <w:tab w:val="right" w:leader="dot" w:pos="8296"/>
        </w:tabs>
        <w:rPr>
          <w:color w:val="0000FF" w:themeColor="hyperlink"/>
          <w:u w:val="single"/>
        </w:rPr>
      </w:pPr>
      <w:r>
        <w:fldChar w:fldCharType="begin"/>
      </w:r>
      <w:r>
        <w:instrText xml:space="preserve"> HYPERLINK \l "_Toc446330725" </w:instrText>
      </w:r>
      <w:r>
        <w:fldChar w:fldCharType="separate"/>
      </w:r>
      <w:r>
        <w:rPr>
          <w:rStyle w:val="15"/>
          <w:rFonts w:hint="eastAsia"/>
          <w:b/>
          <w:sz w:val="28"/>
          <w:szCs w:val="28"/>
        </w:rPr>
        <w:t>通知公告</w:t>
      </w:r>
      <w:r>
        <w:tab/>
      </w:r>
      <w:r>
        <w:fldChar w:fldCharType="begin"/>
      </w:r>
      <w:r>
        <w:instrText xml:space="preserve"> PAGEREF _Toc446330725 \h </w:instrText>
      </w:r>
      <w:r>
        <w:fldChar w:fldCharType="separate"/>
      </w:r>
      <w:r>
        <w:t>31</w:t>
      </w:r>
      <w:r>
        <w:fldChar w:fldCharType="end"/>
      </w:r>
      <w:r>
        <w:fldChar w:fldCharType="end"/>
      </w:r>
    </w:p>
    <w:p>
      <w:pPr>
        <w:pStyle w:val="11"/>
        <w:tabs>
          <w:tab w:val="right" w:leader="dot" w:pos="8296"/>
        </w:tabs>
        <w:rPr>
          <w:kern w:val="2"/>
          <w:sz w:val="21"/>
        </w:rPr>
      </w:pPr>
      <w:r>
        <w:fldChar w:fldCharType="begin"/>
      </w:r>
      <w:r>
        <w:instrText xml:space="preserve"> HYPERLINK \l "_Toc446330726" </w:instrText>
      </w:r>
      <w:r>
        <w:fldChar w:fldCharType="separate"/>
      </w:r>
      <w:r>
        <w:rPr>
          <w:rStyle w:val="15"/>
          <w:rFonts w:hint="eastAsia"/>
        </w:rPr>
        <w:t>北京市人民政府办公厅关于印发《北京市进一步做好防范和处置非法集资工作的管理办法》的通知</w:t>
      </w:r>
      <w:r>
        <w:tab/>
      </w:r>
      <w:r>
        <w:fldChar w:fldCharType="begin"/>
      </w:r>
      <w:r>
        <w:instrText xml:space="preserve"> PAGEREF _Toc446330726 \h </w:instrText>
      </w:r>
      <w:r>
        <w:fldChar w:fldCharType="separate"/>
      </w:r>
      <w:r>
        <w:t>31</w:t>
      </w:r>
      <w:r>
        <w:fldChar w:fldCharType="end"/>
      </w:r>
      <w:r>
        <w:fldChar w:fldCharType="end"/>
      </w:r>
    </w:p>
    <w:p>
      <w:pPr>
        <w:pStyle w:val="11"/>
        <w:tabs>
          <w:tab w:val="right" w:leader="dot" w:pos="8296"/>
        </w:tabs>
        <w:rPr>
          <w:kern w:val="2"/>
          <w:sz w:val="21"/>
        </w:rPr>
      </w:pPr>
      <w:r>
        <w:fldChar w:fldCharType="begin"/>
      </w:r>
      <w:r>
        <w:instrText xml:space="preserve"> HYPERLINK \l "_Toc446330727" </w:instrText>
      </w:r>
      <w:r>
        <w:fldChar w:fldCharType="separate"/>
      </w:r>
      <w:r>
        <w:rPr>
          <w:rStyle w:val="15"/>
          <w:rFonts w:hint="eastAsia"/>
        </w:rPr>
        <w:t>北京市人民政府关于印发《〈中国制造</w:t>
      </w:r>
      <w:r>
        <w:rPr>
          <w:rStyle w:val="15"/>
        </w:rPr>
        <w:t>2025</w:t>
      </w:r>
      <w:r>
        <w:rPr>
          <w:rStyle w:val="15"/>
          <w:rFonts w:hint="eastAsia"/>
        </w:rPr>
        <w:t>〉北京行动纲要》的通知</w:t>
      </w:r>
      <w:r>
        <w:tab/>
      </w:r>
      <w:r>
        <w:fldChar w:fldCharType="begin"/>
      </w:r>
      <w:r>
        <w:instrText xml:space="preserve"> PAGEREF _Toc446330727 \h </w:instrText>
      </w:r>
      <w:r>
        <w:fldChar w:fldCharType="separate"/>
      </w:r>
      <w:r>
        <w:t>35</w:t>
      </w:r>
      <w:r>
        <w:fldChar w:fldCharType="end"/>
      </w:r>
      <w:r>
        <w:fldChar w:fldCharType="end"/>
      </w:r>
    </w:p>
    <w:p>
      <w:pPr>
        <w:pStyle w:val="11"/>
        <w:tabs>
          <w:tab w:val="right" w:leader="dot" w:pos="8296"/>
        </w:tabs>
        <w:rPr>
          <w:kern w:val="2"/>
          <w:sz w:val="21"/>
        </w:rPr>
      </w:pPr>
      <w:r>
        <w:fldChar w:fldCharType="begin"/>
      </w:r>
      <w:r>
        <w:instrText xml:space="preserve"> HYPERLINK \l "_Toc446330728" </w:instrText>
      </w:r>
      <w:r>
        <w:fldChar w:fldCharType="separate"/>
      </w:r>
      <w:r>
        <w:rPr>
          <w:rStyle w:val="15"/>
          <w:rFonts w:hint="eastAsia"/>
        </w:rPr>
        <w:t>工业和信息化部中国人民银行</w:t>
      </w:r>
      <w:r>
        <w:rPr>
          <w:rStyle w:val="15"/>
        </w:rPr>
        <w:t> </w:t>
      </w:r>
      <w:r>
        <w:rPr>
          <w:rStyle w:val="15"/>
          <w:rFonts w:hint="eastAsia"/>
        </w:rPr>
        <w:t>中国银行业监督管理委员会关于印发《加强信息共享</w:t>
      </w:r>
      <w:r>
        <w:rPr>
          <w:rStyle w:val="15"/>
        </w:rPr>
        <w:t> </w:t>
      </w:r>
      <w:r>
        <w:rPr>
          <w:rStyle w:val="15"/>
          <w:rFonts w:hint="eastAsia"/>
        </w:rPr>
        <w:t>促进产融合作行动方案》的通知</w:t>
      </w:r>
      <w:r>
        <w:tab/>
      </w:r>
      <w:r>
        <w:fldChar w:fldCharType="begin"/>
      </w:r>
      <w:r>
        <w:instrText xml:space="preserve"> PAGEREF _Toc446330728 \h </w:instrText>
      </w:r>
      <w:r>
        <w:fldChar w:fldCharType="separate"/>
      </w:r>
      <w:r>
        <w:t>47</w:t>
      </w:r>
      <w:r>
        <w:fldChar w:fldCharType="end"/>
      </w:r>
      <w:r>
        <w:fldChar w:fldCharType="end"/>
      </w:r>
    </w:p>
    <w:p>
      <w:pPr>
        <w:pStyle w:val="11"/>
        <w:tabs>
          <w:tab w:val="right" w:leader="dot" w:pos="8296"/>
        </w:tabs>
        <w:rPr>
          <w:kern w:val="2"/>
          <w:sz w:val="21"/>
        </w:rPr>
      </w:pPr>
      <w:r>
        <w:fldChar w:fldCharType="begin"/>
      </w:r>
      <w:r>
        <w:instrText xml:space="preserve"> HYPERLINK \l "_Toc446330729" </w:instrText>
      </w:r>
      <w:r>
        <w:fldChar w:fldCharType="separate"/>
      </w:r>
      <w:r>
        <w:rPr>
          <w:rStyle w:val="15"/>
          <w:rFonts w:hint="eastAsia"/>
        </w:rPr>
        <w:t>关于融资租赁合同有关印花税政策的通知</w:t>
      </w:r>
      <w:r>
        <w:tab/>
      </w:r>
      <w:r>
        <w:fldChar w:fldCharType="begin"/>
      </w:r>
      <w:r>
        <w:instrText xml:space="preserve"> PAGEREF _Toc446330729 \h </w:instrText>
      </w:r>
      <w:r>
        <w:fldChar w:fldCharType="separate"/>
      </w:r>
      <w:r>
        <w:t>52</w:t>
      </w:r>
      <w:r>
        <w:fldChar w:fldCharType="end"/>
      </w:r>
      <w:r>
        <w:fldChar w:fldCharType="end"/>
      </w:r>
    </w:p>
    <w:p>
      <w:pPr>
        <w:pStyle w:val="11"/>
        <w:tabs>
          <w:tab w:val="right" w:leader="dot" w:pos="8296"/>
        </w:tabs>
        <w:rPr>
          <w:kern w:val="2"/>
          <w:sz w:val="21"/>
        </w:rPr>
      </w:pPr>
      <w:r>
        <w:fldChar w:fldCharType="begin"/>
      </w:r>
      <w:r>
        <w:instrText xml:space="preserve"> HYPERLINK \l "_Toc446330730" </w:instrText>
      </w:r>
      <w:r>
        <w:fldChar w:fldCharType="separate"/>
      </w:r>
      <w:r>
        <w:rPr>
          <w:rStyle w:val="15"/>
          <w:rFonts w:hint="eastAsia"/>
        </w:rPr>
        <w:t>国家税务总局关于完善纳税服务投诉管理制度有关问题的通知</w:t>
      </w:r>
      <w:r>
        <w:tab/>
      </w:r>
      <w:r>
        <w:fldChar w:fldCharType="begin"/>
      </w:r>
      <w:r>
        <w:instrText xml:space="preserve"> PAGEREF _Toc446330730 \h </w:instrText>
      </w:r>
      <w:r>
        <w:fldChar w:fldCharType="separate"/>
      </w:r>
      <w:r>
        <w:t>53</w:t>
      </w:r>
      <w:r>
        <w:fldChar w:fldCharType="end"/>
      </w:r>
      <w:r>
        <w:fldChar w:fldCharType="end"/>
      </w:r>
    </w:p>
    <w:p>
      <w:pPr>
        <w:pStyle w:val="11"/>
        <w:tabs>
          <w:tab w:val="right" w:leader="dot" w:pos="8296"/>
        </w:tabs>
        <w:rPr>
          <w:kern w:val="2"/>
          <w:sz w:val="21"/>
        </w:rPr>
      </w:pPr>
      <w:r>
        <w:fldChar w:fldCharType="begin"/>
      </w:r>
      <w:r>
        <w:instrText xml:space="preserve"> HYPERLINK \l "_Toc446330731" </w:instrText>
      </w:r>
      <w:r>
        <w:fldChar w:fldCharType="separate"/>
      </w:r>
      <w:r>
        <w:rPr>
          <w:rStyle w:val="15"/>
          <w:rFonts w:hint="eastAsia"/>
        </w:rPr>
        <w:t>国家税务总局关于营业税改征增值税试点期间有关增值税问题的公告</w:t>
      </w:r>
      <w:r>
        <w:tab/>
      </w:r>
      <w:r>
        <w:fldChar w:fldCharType="begin"/>
      </w:r>
      <w:r>
        <w:instrText xml:space="preserve"> PAGEREF _Toc446330731 \h </w:instrText>
      </w:r>
      <w:r>
        <w:fldChar w:fldCharType="separate"/>
      </w:r>
      <w:r>
        <w:t>55</w:t>
      </w:r>
      <w:r>
        <w:fldChar w:fldCharType="end"/>
      </w:r>
      <w:r>
        <w:fldChar w:fldCharType="end"/>
      </w:r>
    </w:p>
    <w:p>
      <w:pPr>
        <w:pStyle w:val="11"/>
        <w:tabs>
          <w:tab w:val="right" w:leader="dot" w:pos="8296"/>
        </w:tabs>
        <w:rPr>
          <w:kern w:val="2"/>
          <w:sz w:val="21"/>
        </w:rPr>
      </w:pPr>
      <w:r>
        <w:fldChar w:fldCharType="begin"/>
      </w:r>
      <w:r>
        <w:instrText xml:space="preserve"> HYPERLINK \l "_Toc446330732" </w:instrText>
      </w:r>
      <w:r>
        <w:fldChar w:fldCharType="separate"/>
      </w:r>
      <w:r>
        <w:rPr>
          <w:rStyle w:val="15"/>
          <w:rFonts w:hint="eastAsia"/>
        </w:rPr>
        <w:t>关于贯彻落实研发费用加计扣除和全国推广自主创新示范区所得税政策的通知</w:t>
      </w:r>
      <w:r>
        <w:tab/>
      </w:r>
      <w:r>
        <w:fldChar w:fldCharType="begin"/>
      </w:r>
      <w:r>
        <w:instrText xml:space="preserve"> PAGEREF _Toc446330732 \h </w:instrText>
      </w:r>
      <w:r>
        <w:fldChar w:fldCharType="separate"/>
      </w:r>
      <w:r>
        <w:t>56</w:t>
      </w:r>
      <w:r>
        <w:fldChar w:fldCharType="end"/>
      </w:r>
      <w:r>
        <w:fldChar w:fldCharType="end"/>
      </w:r>
    </w:p>
    <w:p>
      <w:pPr>
        <w:pStyle w:val="11"/>
        <w:tabs>
          <w:tab w:val="right" w:leader="dot" w:pos="8296"/>
        </w:tabs>
        <w:rPr>
          <w:kern w:val="2"/>
          <w:sz w:val="21"/>
        </w:rPr>
      </w:pPr>
      <w:r>
        <w:fldChar w:fldCharType="begin"/>
      </w:r>
      <w:r>
        <w:instrText xml:space="preserve"> HYPERLINK \l "_Toc446330733" </w:instrText>
      </w:r>
      <w:r>
        <w:fldChar w:fldCharType="separate"/>
      </w:r>
      <w:r>
        <w:rPr>
          <w:rStyle w:val="15"/>
          <w:rFonts w:hint="eastAsia"/>
        </w:rPr>
        <w:t>国家工商总局关于《严重违法失信企业名单管理暂行办法（征求意见稿）》公开征求意见的公告</w:t>
      </w:r>
      <w:r>
        <w:tab/>
      </w:r>
      <w:r>
        <w:fldChar w:fldCharType="begin"/>
      </w:r>
      <w:r>
        <w:instrText xml:space="preserve"> PAGEREF _Toc446330733 \h </w:instrText>
      </w:r>
      <w:r>
        <w:fldChar w:fldCharType="separate"/>
      </w:r>
      <w:r>
        <w:t>59</w:t>
      </w:r>
      <w:r>
        <w:fldChar w:fldCharType="end"/>
      </w:r>
      <w:r>
        <w:fldChar w:fldCharType="end"/>
      </w:r>
    </w:p>
    <w:p>
      <w:pPr>
        <w:pStyle w:val="11"/>
        <w:tabs>
          <w:tab w:val="right" w:leader="dot" w:pos="8296"/>
        </w:tabs>
        <w:rPr>
          <w:kern w:val="2"/>
          <w:sz w:val="21"/>
        </w:rPr>
      </w:pPr>
      <w:r>
        <w:fldChar w:fldCharType="begin"/>
      </w:r>
      <w:r>
        <w:instrText xml:space="preserve"> HYPERLINK \l "_Toc446330734" </w:instrText>
      </w:r>
      <w:r>
        <w:fldChar w:fldCharType="separate"/>
      </w:r>
      <w:r>
        <w:rPr>
          <w:rStyle w:val="15"/>
          <w:rFonts w:hint="eastAsia"/>
        </w:rPr>
        <w:t>关于开展商贸流通领域监督检查和特殊行业风险排查工作的通知</w:t>
      </w:r>
      <w:r>
        <w:tab/>
      </w:r>
      <w:r>
        <w:fldChar w:fldCharType="begin"/>
      </w:r>
      <w:r>
        <w:instrText xml:space="preserve"> PAGEREF _Toc446330734 \h </w:instrText>
      </w:r>
      <w:r>
        <w:fldChar w:fldCharType="separate"/>
      </w:r>
      <w:r>
        <w:t>60</w:t>
      </w:r>
      <w:r>
        <w:fldChar w:fldCharType="end"/>
      </w:r>
      <w:r>
        <w:fldChar w:fldCharType="end"/>
      </w:r>
    </w:p>
    <w:p>
      <w:pPr>
        <w:pStyle w:val="11"/>
        <w:tabs>
          <w:tab w:val="right" w:leader="dot" w:pos="8296"/>
        </w:tabs>
        <w:rPr>
          <w:kern w:val="2"/>
          <w:sz w:val="21"/>
        </w:rPr>
      </w:pPr>
      <w:r>
        <w:fldChar w:fldCharType="begin"/>
      </w:r>
      <w:r>
        <w:instrText xml:space="preserve"> HYPERLINK \l "_Toc446330735" </w:instrText>
      </w:r>
      <w:r>
        <w:fldChar w:fldCharType="separate"/>
      </w:r>
      <w:r>
        <w:rPr>
          <w:rStyle w:val="15"/>
          <w:rFonts w:hint="eastAsia"/>
        </w:rPr>
        <w:t>北京市国家税务局</w:t>
      </w:r>
      <w:r>
        <w:rPr>
          <w:rStyle w:val="15"/>
        </w:rPr>
        <w:t xml:space="preserve"> </w:t>
      </w:r>
      <w:r>
        <w:rPr>
          <w:rStyle w:val="15"/>
          <w:rFonts w:hint="eastAsia"/>
        </w:rPr>
        <w:t>北京市地方税务局关于实行办税人员实名办税的公告</w:t>
      </w:r>
      <w:r>
        <w:tab/>
      </w:r>
      <w:r>
        <w:fldChar w:fldCharType="begin"/>
      </w:r>
      <w:r>
        <w:instrText xml:space="preserve"> PAGEREF _Toc446330735 \h </w:instrText>
      </w:r>
      <w:r>
        <w:fldChar w:fldCharType="separate"/>
      </w:r>
      <w:r>
        <w:t>65</w:t>
      </w:r>
      <w:r>
        <w:fldChar w:fldCharType="end"/>
      </w:r>
      <w:r>
        <w:fldChar w:fldCharType="end"/>
      </w:r>
    </w:p>
    <w:p>
      <w:pPr>
        <w:pStyle w:val="11"/>
        <w:tabs>
          <w:tab w:val="right" w:leader="dot" w:pos="8296"/>
        </w:tabs>
        <w:rPr>
          <w:color w:val="0000FF" w:themeColor="hyperlink"/>
          <w:u w:val="single"/>
        </w:rPr>
      </w:pPr>
      <w:r>
        <w:fldChar w:fldCharType="begin"/>
      </w:r>
      <w:r>
        <w:instrText xml:space="preserve"> HYPERLINK \l "_Toc446330736" </w:instrText>
      </w:r>
      <w:r>
        <w:fldChar w:fldCharType="separate"/>
      </w:r>
      <w:r>
        <w:rPr>
          <w:rStyle w:val="15"/>
          <w:rFonts w:hint="eastAsia" w:asciiTheme="minorEastAsia" w:hAnsiTheme="minorEastAsia"/>
        </w:rPr>
        <w:t>北京市文化创意产业发展专项资金项目奖励实施细则（试行）</w:t>
      </w:r>
      <w:r>
        <w:tab/>
      </w:r>
      <w:r>
        <w:fldChar w:fldCharType="begin"/>
      </w:r>
      <w:r>
        <w:instrText xml:space="preserve"> PAGEREF _Toc446330736 \h </w:instrText>
      </w:r>
      <w:r>
        <w:fldChar w:fldCharType="separate"/>
      </w:r>
      <w:r>
        <w:t>70</w:t>
      </w:r>
      <w:r>
        <w:fldChar w:fldCharType="end"/>
      </w:r>
      <w:r>
        <w:fldChar w:fldCharType="end"/>
      </w:r>
    </w:p>
    <w:p>
      <w:pPr>
        <w:pStyle w:val="10"/>
        <w:tabs>
          <w:tab w:val="right" w:leader="dot" w:pos="8296"/>
        </w:tabs>
        <w:rPr>
          <w:kern w:val="2"/>
          <w:sz w:val="21"/>
        </w:rPr>
      </w:pPr>
      <w:r>
        <w:fldChar w:fldCharType="begin"/>
      </w:r>
      <w:r>
        <w:instrText xml:space="preserve"> HYPERLINK \l "_Toc446330737" </w:instrText>
      </w:r>
      <w:r>
        <w:fldChar w:fldCharType="separate"/>
      </w:r>
      <w:r>
        <w:rPr>
          <w:rStyle w:val="15"/>
          <w:rFonts w:hint="eastAsia"/>
          <w:b/>
          <w:sz w:val="28"/>
          <w:szCs w:val="28"/>
        </w:rPr>
        <w:t>资讯信息</w:t>
      </w:r>
      <w:r>
        <w:tab/>
      </w:r>
      <w:r>
        <w:fldChar w:fldCharType="begin"/>
      </w:r>
      <w:r>
        <w:instrText xml:space="preserve"> PAGEREF _Toc446330737 \h </w:instrText>
      </w:r>
      <w:r>
        <w:fldChar w:fldCharType="separate"/>
      </w:r>
      <w:r>
        <w:t>74</w:t>
      </w:r>
      <w:r>
        <w:fldChar w:fldCharType="end"/>
      </w:r>
      <w:r>
        <w:fldChar w:fldCharType="end"/>
      </w:r>
    </w:p>
    <w:p>
      <w:pPr>
        <w:pStyle w:val="11"/>
        <w:tabs>
          <w:tab w:val="right" w:leader="dot" w:pos="8296"/>
        </w:tabs>
        <w:rPr>
          <w:kern w:val="2"/>
          <w:sz w:val="21"/>
        </w:rPr>
      </w:pPr>
      <w:r>
        <w:fldChar w:fldCharType="begin"/>
      </w:r>
      <w:r>
        <w:instrText xml:space="preserve"> HYPERLINK \l "_Toc446330738" </w:instrText>
      </w:r>
      <w:r>
        <w:fldChar w:fldCharType="separate"/>
      </w:r>
      <w:r>
        <w:rPr>
          <w:rStyle w:val="15"/>
          <w:rFonts w:hint="eastAsia"/>
        </w:rPr>
        <w:t>全国将进行服务贸易创新发展试点，推进外贸转型</w:t>
      </w:r>
      <w:r>
        <w:tab/>
      </w:r>
      <w:r>
        <w:fldChar w:fldCharType="begin"/>
      </w:r>
      <w:r>
        <w:instrText xml:space="preserve"> PAGEREF _Toc446330738 \h </w:instrText>
      </w:r>
      <w:r>
        <w:fldChar w:fldCharType="separate"/>
      </w:r>
      <w:r>
        <w:t>74</w:t>
      </w:r>
      <w:r>
        <w:fldChar w:fldCharType="end"/>
      </w:r>
      <w:r>
        <w:fldChar w:fldCharType="end"/>
      </w:r>
    </w:p>
    <w:p>
      <w:pPr>
        <w:pStyle w:val="11"/>
        <w:tabs>
          <w:tab w:val="right" w:leader="dot" w:pos="8296"/>
        </w:tabs>
        <w:rPr>
          <w:kern w:val="2"/>
          <w:sz w:val="21"/>
        </w:rPr>
      </w:pPr>
      <w:r>
        <w:fldChar w:fldCharType="begin"/>
      </w:r>
      <w:r>
        <w:instrText xml:space="preserve"> HYPERLINK \l "_Toc446330739" </w:instrText>
      </w:r>
      <w:r>
        <w:fldChar w:fldCharType="separate"/>
      </w:r>
      <w:r>
        <w:rPr>
          <w:rStyle w:val="15"/>
          <w:rFonts w:hint="eastAsia"/>
        </w:rPr>
        <w:t>税务总局就</w:t>
      </w:r>
      <w:r>
        <w:rPr>
          <w:rStyle w:val="15"/>
        </w:rPr>
        <w:t>3</w:t>
      </w:r>
      <w:r>
        <w:rPr>
          <w:rStyle w:val="15"/>
          <w:rFonts w:hint="eastAsia"/>
        </w:rPr>
        <w:t>类补贴的财税处理给出权威答复</w:t>
      </w:r>
      <w:r>
        <w:tab/>
      </w:r>
      <w:r>
        <w:fldChar w:fldCharType="begin"/>
      </w:r>
      <w:r>
        <w:instrText xml:space="preserve"> PAGEREF _Toc446330739 \h </w:instrText>
      </w:r>
      <w:r>
        <w:fldChar w:fldCharType="separate"/>
      </w:r>
      <w:r>
        <w:t>76</w:t>
      </w:r>
      <w:r>
        <w:fldChar w:fldCharType="end"/>
      </w:r>
      <w:r>
        <w:fldChar w:fldCharType="end"/>
      </w:r>
    </w:p>
    <w:p>
      <w:pPr>
        <w:pStyle w:val="11"/>
        <w:tabs>
          <w:tab w:val="right" w:leader="dot" w:pos="8296"/>
        </w:tabs>
        <w:rPr>
          <w:kern w:val="2"/>
          <w:sz w:val="21"/>
        </w:rPr>
      </w:pPr>
      <w:r>
        <w:fldChar w:fldCharType="begin"/>
      </w:r>
      <w:r>
        <w:instrText xml:space="preserve"> HYPERLINK \l "_Toc446330740" </w:instrText>
      </w:r>
      <w:r>
        <w:fldChar w:fldCharType="separate"/>
      </w:r>
      <w:r>
        <w:rPr>
          <w:rStyle w:val="15"/>
          <w:rFonts w:hint="eastAsia"/>
        </w:rPr>
        <w:t>国家统计局：</w:t>
      </w:r>
      <w:r>
        <w:rPr>
          <w:rStyle w:val="15"/>
        </w:rPr>
        <w:t>1</w:t>
      </w:r>
      <w:r>
        <w:rPr>
          <w:rStyle w:val="15"/>
          <w:rFonts w:hint="eastAsia"/>
        </w:rPr>
        <w:t>月份</w:t>
      </w:r>
      <w:r>
        <w:rPr>
          <w:rStyle w:val="15"/>
        </w:rPr>
        <w:t>CPI</w:t>
      </w:r>
      <w:r>
        <w:rPr>
          <w:rStyle w:val="15"/>
          <w:rFonts w:hint="eastAsia"/>
        </w:rPr>
        <w:t>同比上涨</w:t>
      </w:r>
      <w:r>
        <w:rPr>
          <w:rStyle w:val="15"/>
        </w:rPr>
        <w:t>1.8%</w:t>
      </w:r>
      <w:r>
        <w:rPr>
          <w:rStyle w:val="15"/>
          <w:rFonts w:hint="eastAsia"/>
        </w:rPr>
        <w:t>，</w:t>
      </w:r>
      <w:r>
        <w:rPr>
          <w:rStyle w:val="15"/>
        </w:rPr>
        <w:t>PPI</w:t>
      </w:r>
      <w:r>
        <w:rPr>
          <w:rStyle w:val="15"/>
          <w:rFonts w:hint="eastAsia"/>
        </w:rPr>
        <w:t>同比下降</w:t>
      </w:r>
      <w:r>
        <w:rPr>
          <w:rStyle w:val="15"/>
        </w:rPr>
        <w:t>5.3%</w:t>
      </w:r>
      <w:r>
        <w:tab/>
      </w:r>
      <w:r>
        <w:fldChar w:fldCharType="begin"/>
      </w:r>
      <w:r>
        <w:instrText xml:space="preserve"> PAGEREF _Toc446330740 \h </w:instrText>
      </w:r>
      <w:r>
        <w:fldChar w:fldCharType="separate"/>
      </w:r>
      <w:r>
        <w:t>78</w:t>
      </w:r>
      <w:r>
        <w:fldChar w:fldCharType="end"/>
      </w:r>
      <w:r>
        <w:fldChar w:fldCharType="end"/>
      </w:r>
    </w:p>
    <w:p>
      <w:pPr>
        <w:pStyle w:val="11"/>
        <w:tabs>
          <w:tab w:val="right" w:leader="dot" w:pos="8296"/>
        </w:tabs>
        <w:rPr>
          <w:kern w:val="2"/>
          <w:sz w:val="21"/>
        </w:rPr>
      </w:pPr>
      <w:r>
        <w:fldChar w:fldCharType="begin"/>
      </w:r>
      <w:r>
        <w:instrText xml:space="preserve"> HYPERLINK \l "_Toc446330741" </w:instrText>
      </w:r>
      <w:r>
        <w:fldChar w:fldCharType="separate"/>
      </w:r>
      <w:r>
        <w:rPr>
          <w:rStyle w:val="15"/>
          <w:rFonts w:hint="eastAsia"/>
        </w:rPr>
        <w:t>营改增打响收官之战</w:t>
      </w:r>
      <w:r>
        <w:rPr>
          <w:rStyle w:val="15"/>
        </w:rPr>
        <w:t xml:space="preserve"> </w:t>
      </w:r>
      <w:r>
        <w:rPr>
          <w:rStyle w:val="15"/>
          <w:rFonts w:hint="eastAsia"/>
        </w:rPr>
        <w:t>四大行业方案呼之欲出</w:t>
      </w:r>
      <w:r>
        <w:tab/>
      </w:r>
      <w:r>
        <w:fldChar w:fldCharType="begin"/>
      </w:r>
      <w:r>
        <w:instrText xml:space="preserve"> PAGEREF _Toc446330741 \h </w:instrText>
      </w:r>
      <w:r>
        <w:fldChar w:fldCharType="separate"/>
      </w:r>
      <w:r>
        <w:t>80</w:t>
      </w:r>
      <w:r>
        <w:fldChar w:fldCharType="end"/>
      </w:r>
      <w:r>
        <w:fldChar w:fldCharType="end"/>
      </w:r>
    </w:p>
    <w:p>
      <w:pPr>
        <w:pStyle w:val="11"/>
        <w:tabs>
          <w:tab w:val="right" w:leader="dot" w:pos="8296"/>
        </w:tabs>
        <w:rPr>
          <w:kern w:val="2"/>
          <w:sz w:val="21"/>
        </w:rPr>
      </w:pPr>
      <w:r>
        <w:fldChar w:fldCharType="begin"/>
      </w:r>
      <w:r>
        <w:instrText xml:space="preserve"> HYPERLINK \l "_Toc446330742" </w:instrText>
      </w:r>
      <w:r>
        <w:fldChar w:fldCharType="separate"/>
      </w:r>
      <w:r>
        <w:rPr>
          <w:rStyle w:val="15"/>
          <w:rFonts w:hint="eastAsia"/>
        </w:rPr>
        <w:t>警方通报</w:t>
      </w:r>
      <w:r>
        <w:rPr>
          <w:rStyle w:val="15"/>
        </w:rPr>
        <w:t>"e</w:t>
      </w:r>
      <w:r>
        <w:rPr>
          <w:rStyle w:val="15"/>
          <w:rFonts w:hint="eastAsia"/>
        </w:rPr>
        <w:t>租宝</w:t>
      </w:r>
      <w:r>
        <w:rPr>
          <w:rStyle w:val="15"/>
        </w:rPr>
        <w:t>"</w:t>
      </w:r>
      <w:r>
        <w:rPr>
          <w:rStyle w:val="15"/>
          <w:rFonts w:hint="eastAsia"/>
        </w:rPr>
        <w:t>非法集资案</w:t>
      </w:r>
      <w:r>
        <w:tab/>
      </w:r>
      <w:r>
        <w:fldChar w:fldCharType="begin"/>
      </w:r>
      <w:r>
        <w:instrText xml:space="preserve"> PAGEREF _Toc446330742 \h </w:instrText>
      </w:r>
      <w:r>
        <w:fldChar w:fldCharType="separate"/>
      </w:r>
      <w:r>
        <w:t>88</w:t>
      </w:r>
      <w:r>
        <w:fldChar w:fldCharType="end"/>
      </w:r>
      <w:r>
        <w:fldChar w:fldCharType="end"/>
      </w:r>
    </w:p>
    <w:p>
      <w:pPr>
        <w:pStyle w:val="11"/>
        <w:tabs>
          <w:tab w:val="right" w:leader="dot" w:pos="8296"/>
        </w:tabs>
        <w:rPr>
          <w:kern w:val="2"/>
          <w:sz w:val="21"/>
        </w:rPr>
      </w:pPr>
      <w:r>
        <w:fldChar w:fldCharType="begin"/>
      </w:r>
      <w:r>
        <w:instrText xml:space="preserve"> HYPERLINK \l "_Toc446330743" </w:instrText>
      </w:r>
      <w:r>
        <w:fldChar w:fldCharType="separate"/>
      </w:r>
      <w:r>
        <w:rPr>
          <w:rStyle w:val="15"/>
          <w:rFonts w:hint="eastAsia"/>
        </w:rPr>
        <w:t>租赁商务服务业完税增逾两成</w:t>
      </w:r>
      <w:r>
        <w:tab/>
      </w:r>
      <w:r>
        <w:fldChar w:fldCharType="begin"/>
      </w:r>
      <w:r>
        <w:instrText xml:space="preserve"> PAGEREF _Toc446330743 \h </w:instrText>
      </w:r>
      <w:r>
        <w:fldChar w:fldCharType="separate"/>
      </w:r>
      <w:r>
        <w:t>96</w:t>
      </w:r>
      <w:r>
        <w:fldChar w:fldCharType="end"/>
      </w:r>
      <w:r>
        <w:fldChar w:fldCharType="end"/>
      </w:r>
    </w:p>
    <w:p>
      <w:pPr>
        <w:pStyle w:val="11"/>
        <w:tabs>
          <w:tab w:val="right" w:leader="dot" w:pos="8296"/>
        </w:tabs>
        <w:rPr>
          <w:color w:val="0000FF" w:themeColor="hyperlink"/>
          <w:u w:val="single"/>
        </w:rPr>
      </w:pPr>
      <w:r>
        <w:fldChar w:fldCharType="begin"/>
      </w:r>
      <w:r>
        <w:instrText xml:space="preserve"> HYPERLINK \l "_Toc446330744" </w:instrText>
      </w:r>
      <w:r>
        <w:fldChar w:fldCharType="separate"/>
      </w:r>
      <w:r>
        <w:rPr>
          <w:rStyle w:val="15"/>
          <w:rFonts w:hint="eastAsia"/>
        </w:rPr>
        <w:t>营改增今年全面推开企业再迎大规模减税</w:t>
      </w:r>
      <w:r>
        <w:tab/>
      </w:r>
      <w:r>
        <w:fldChar w:fldCharType="begin"/>
      </w:r>
      <w:r>
        <w:instrText xml:space="preserve"> PAGEREF _Toc446330744 \h </w:instrText>
      </w:r>
      <w:r>
        <w:fldChar w:fldCharType="separate"/>
      </w:r>
      <w:r>
        <w:t>98</w:t>
      </w:r>
      <w:r>
        <w:fldChar w:fldCharType="end"/>
      </w:r>
      <w:r>
        <w:fldChar w:fldCharType="end"/>
      </w:r>
    </w:p>
    <w:p>
      <w:pPr>
        <w:pStyle w:val="10"/>
        <w:tabs>
          <w:tab w:val="right" w:leader="dot" w:pos="8296"/>
        </w:tabs>
        <w:rPr>
          <w:kern w:val="2"/>
          <w:sz w:val="21"/>
        </w:rPr>
      </w:pPr>
      <w:r>
        <w:fldChar w:fldCharType="begin"/>
      </w:r>
      <w:r>
        <w:instrText xml:space="preserve"> HYPERLINK \l "_Toc446330745" </w:instrText>
      </w:r>
      <w:r>
        <w:fldChar w:fldCharType="separate"/>
      </w:r>
      <w:r>
        <w:rPr>
          <w:rStyle w:val="15"/>
          <w:rFonts w:hint="eastAsia"/>
          <w:b/>
          <w:sz w:val="28"/>
          <w:szCs w:val="28"/>
        </w:rPr>
        <w:t>热点关注</w:t>
      </w:r>
      <w:r>
        <w:tab/>
      </w:r>
      <w:r>
        <w:fldChar w:fldCharType="begin"/>
      </w:r>
      <w:r>
        <w:instrText xml:space="preserve"> PAGEREF _Toc446330745 \h </w:instrText>
      </w:r>
      <w:r>
        <w:fldChar w:fldCharType="separate"/>
      </w:r>
      <w:r>
        <w:t>102</w:t>
      </w:r>
      <w:r>
        <w:fldChar w:fldCharType="end"/>
      </w:r>
      <w:r>
        <w:fldChar w:fldCharType="end"/>
      </w:r>
    </w:p>
    <w:p>
      <w:pPr>
        <w:pStyle w:val="11"/>
        <w:tabs>
          <w:tab w:val="right" w:leader="dot" w:pos="8296"/>
        </w:tabs>
        <w:rPr>
          <w:kern w:val="2"/>
          <w:sz w:val="21"/>
        </w:rPr>
      </w:pPr>
      <w:r>
        <w:fldChar w:fldCharType="begin"/>
      </w:r>
      <w:r>
        <w:instrText xml:space="preserve"> HYPERLINK \l "_Toc446330746" </w:instrText>
      </w:r>
      <w:r>
        <w:fldChar w:fldCharType="separate"/>
      </w:r>
      <w:r>
        <w:rPr>
          <w:rStyle w:val="15"/>
          <w:rFonts w:hint="eastAsia"/>
        </w:rPr>
        <w:t>李克强主持召开国务院常务会议</w:t>
      </w:r>
      <w:r>
        <w:rPr>
          <w:rStyle w:val="15"/>
        </w:rPr>
        <w:t> </w:t>
      </w:r>
      <w:r>
        <w:rPr>
          <w:rStyle w:val="15"/>
          <w:rFonts w:hint="eastAsia"/>
        </w:rPr>
        <w:t>确定金融支持工业增效升级的措施等</w:t>
      </w:r>
      <w:r>
        <w:tab/>
      </w:r>
      <w:r>
        <w:fldChar w:fldCharType="begin"/>
      </w:r>
      <w:r>
        <w:instrText xml:space="preserve"> PAGEREF _Toc446330746 \h </w:instrText>
      </w:r>
      <w:r>
        <w:fldChar w:fldCharType="separate"/>
      </w:r>
      <w:r>
        <w:t>102</w:t>
      </w:r>
      <w:r>
        <w:fldChar w:fldCharType="end"/>
      </w:r>
      <w:r>
        <w:fldChar w:fldCharType="end"/>
      </w:r>
    </w:p>
    <w:p>
      <w:pPr>
        <w:pStyle w:val="11"/>
        <w:tabs>
          <w:tab w:val="right" w:leader="dot" w:pos="8296"/>
        </w:tabs>
        <w:rPr>
          <w:kern w:val="2"/>
          <w:sz w:val="21"/>
        </w:rPr>
      </w:pPr>
      <w:r>
        <w:fldChar w:fldCharType="begin"/>
      </w:r>
      <w:r>
        <w:instrText xml:space="preserve"> HYPERLINK \l "_Toc446330747" </w:instrText>
      </w:r>
      <w:r>
        <w:fldChar w:fldCharType="separate"/>
      </w:r>
      <w:r>
        <w:rPr>
          <w:rStyle w:val="15"/>
          <w:rFonts w:hint="eastAsia"/>
        </w:rPr>
        <w:t>公安部组织建设非法集资案投资人信息登记平台开通</w:t>
      </w:r>
      <w:r>
        <w:tab/>
      </w:r>
      <w:r>
        <w:fldChar w:fldCharType="begin"/>
      </w:r>
      <w:r>
        <w:instrText xml:space="preserve"> PAGEREF _Toc446330747 \h </w:instrText>
      </w:r>
      <w:r>
        <w:fldChar w:fldCharType="separate"/>
      </w:r>
      <w:r>
        <w:t>105</w:t>
      </w:r>
      <w:r>
        <w:fldChar w:fldCharType="end"/>
      </w:r>
      <w:r>
        <w:fldChar w:fldCharType="end"/>
      </w:r>
    </w:p>
    <w:p>
      <w:pPr>
        <w:pStyle w:val="11"/>
        <w:tabs>
          <w:tab w:val="right" w:leader="dot" w:pos="8296"/>
        </w:tabs>
        <w:rPr>
          <w:kern w:val="2"/>
          <w:sz w:val="21"/>
        </w:rPr>
      </w:pPr>
      <w:r>
        <w:fldChar w:fldCharType="begin"/>
      </w:r>
      <w:r>
        <w:instrText xml:space="preserve"> HYPERLINK \l "_Toc446330748" </w:instrText>
      </w:r>
      <w:r>
        <w:fldChar w:fldCharType="separate"/>
      </w:r>
      <w:r>
        <w:rPr>
          <w:rStyle w:val="15"/>
          <w:rFonts w:hint="eastAsia"/>
        </w:rPr>
        <w:t>中国商务部长高虎城纵论开放型经济热点</w:t>
      </w:r>
      <w:r>
        <w:tab/>
      </w:r>
      <w:r>
        <w:fldChar w:fldCharType="begin"/>
      </w:r>
      <w:r>
        <w:instrText xml:space="preserve"> PAGEREF _Toc446330748 \h </w:instrText>
      </w:r>
      <w:r>
        <w:fldChar w:fldCharType="separate"/>
      </w:r>
      <w:r>
        <w:t>106</w:t>
      </w:r>
      <w:r>
        <w:fldChar w:fldCharType="end"/>
      </w:r>
      <w:r>
        <w:fldChar w:fldCharType="end"/>
      </w:r>
    </w:p>
    <w:p>
      <w:pPr>
        <w:pStyle w:val="11"/>
        <w:tabs>
          <w:tab w:val="right" w:leader="dot" w:pos="8296"/>
        </w:tabs>
        <w:rPr>
          <w:kern w:val="2"/>
          <w:sz w:val="21"/>
        </w:rPr>
      </w:pPr>
      <w:r>
        <w:fldChar w:fldCharType="begin"/>
      </w:r>
      <w:r>
        <w:instrText xml:space="preserve"> HYPERLINK \l "_Toc446330749" </w:instrText>
      </w:r>
      <w:r>
        <w:fldChar w:fldCharType="separate"/>
      </w:r>
      <w:r>
        <w:rPr>
          <w:rStyle w:val="15"/>
          <w:rFonts w:hint="eastAsia"/>
        </w:rPr>
        <w:t>发改委第一时间回应：将对互联网失信行为实施联合惩戒</w:t>
      </w:r>
      <w:r>
        <w:tab/>
      </w:r>
      <w:r>
        <w:fldChar w:fldCharType="begin"/>
      </w:r>
      <w:r>
        <w:instrText xml:space="preserve"> PAGEREF _Toc446330749 \h </w:instrText>
      </w:r>
      <w:r>
        <w:fldChar w:fldCharType="separate"/>
      </w:r>
      <w:r>
        <w:t>113</w:t>
      </w:r>
      <w:r>
        <w:fldChar w:fldCharType="end"/>
      </w:r>
      <w:r>
        <w:fldChar w:fldCharType="end"/>
      </w:r>
    </w:p>
    <w:p>
      <w:pPr>
        <w:pStyle w:val="11"/>
        <w:tabs>
          <w:tab w:val="right" w:leader="dot" w:pos="8296"/>
        </w:tabs>
        <w:rPr>
          <w:kern w:val="2"/>
          <w:sz w:val="21"/>
        </w:rPr>
      </w:pPr>
      <w:r>
        <w:fldChar w:fldCharType="begin"/>
      </w:r>
      <w:r>
        <w:instrText xml:space="preserve"> HYPERLINK \l "_Toc446330750" </w:instrText>
      </w:r>
      <w:r>
        <w:fldChar w:fldCharType="separate"/>
      </w:r>
      <w:r>
        <w:rPr>
          <w:rStyle w:val="15"/>
          <w:rFonts w:hint="eastAsia"/>
        </w:rPr>
        <w:t>两会热点</w:t>
      </w:r>
      <w:r>
        <w:rPr>
          <w:rStyle w:val="15"/>
        </w:rPr>
        <w:t xml:space="preserve"> </w:t>
      </w:r>
      <w:r>
        <w:rPr>
          <w:rStyle w:val="15"/>
          <w:rFonts w:hint="eastAsia"/>
        </w:rPr>
        <w:t>：加快融资租赁立法</w:t>
      </w:r>
      <w:r>
        <w:tab/>
      </w:r>
      <w:r>
        <w:fldChar w:fldCharType="begin"/>
      </w:r>
      <w:r>
        <w:instrText xml:space="preserve"> PAGEREF _Toc446330750 \h </w:instrText>
      </w:r>
      <w:r>
        <w:fldChar w:fldCharType="separate"/>
      </w:r>
      <w:r>
        <w:t>114</w:t>
      </w:r>
      <w:r>
        <w:fldChar w:fldCharType="end"/>
      </w:r>
      <w:r>
        <w:fldChar w:fldCharType="end"/>
      </w:r>
    </w:p>
    <w:p>
      <w:pPr>
        <w:pStyle w:val="11"/>
        <w:tabs>
          <w:tab w:val="right" w:leader="dot" w:pos="8296"/>
        </w:tabs>
        <w:rPr>
          <w:kern w:val="2"/>
          <w:sz w:val="21"/>
        </w:rPr>
      </w:pPr>
      <w:r>
        <w:fldChar w:fldCharType="begin"/>
      </w:r>
      <w:r>
        <w:instrText xml:space="preserve"> HYPERLINK \l "_Toc446330751" </w:instrText>
      </w:r>
      <w:r>
        <w:fldChar w:fldCharType="separate"/>
      </w:r>
      <w:r>
        <w:rPr>
          <w:rStyle w:val="15"/>
          <w:rFonts w:hint="eastAsia"/>
        </w:rPr>
        <w:t>两会早知道：鼓励租车缓解交通拥堵</w:t>
      </w:r>
      <w:r>
        <w:tab/>
      </w:r>
      <w:r>
        <w:fldChar w:fldCharType="begin"/>
      </w:r>
      <w:r>
        <w:instrText xml:space="preserve"> PAGEREF _Toc446330751 \h </w:instrText>
      </w:r>
      <w:r>
        <w:fldChar w:fldCharType="separate"/>
      </w:r>
      <w:r>
        <w:t>122</w:t>
      </w:r>
      <w:r>
        <w:fldChar w:fldCharType="end"/>
      </w:r>
      <w:r>
        <w:fldChar w:fldCharType="end"/>
      </w:r>
    </w:p>
    <w:p>
      <w:pPr>
        <w:pStyle w:val="11"/>
        <w:tabs>
          <w:tab w:val="right" w:leader="dot" w:pos="8296"/>
        </w:tabs>
        <w:rPr>
          <w:color w:val="0000FF" w:themeColor="hyperlink"/>
          <w:u w:val="single"/>
        </w:rPr>
      </w:pPr>
      <w:r>
        <w:fldChar w:fldCharType="begin"/>
      </w:r>
      <w:r>
        <w:instrText xml:space="preserve"> HYPERLINK \l "_Toc446330752" </w:instrText>
      </w:r>
      <w:r>
        <w:fldChar w:fldCharType="separate"/>
      </w:r>
      <w:r>
        <w:rPr>
          <w:rStyle w:val="15"/>
          <w:rFonts w:hint="eastAsia"/>
        </w:rPr>
        <w:t>个税改革方案已完成</w:t>
      </w:r>
      <w:r>
        <w:rPr>
          <w:rStyle w:val="15"/>
        </w:rPr>
        <w:t>:</w:t>
      </w:r>
      <w:r>
        <w:rPr>
          <w:rStyle w:val="15"/>
          <w:rFonts w:hint="eastAsia"/>
        </w:rPr>
        <w:t>以家庭征缴</w:t>
      </w:r>
      <w:r>
        <w:rPr>
          <w:rStyle w:val="15"/>
        </w:rPr>
        <w:t xml:space="preserve"> </w:t>
      </w:r>
      <w:r>
        <w:rPr>
          <w:rStyle w:val="15"/>
          <w:rFonts w:hint="eastAsia"/>
        </w:rPr>
        <w:t>教育费用纳入抵扣</w:t>
      </w:r>
      <w:r>
        <w:tab/>
      </w:r>
      <w:r>
        <w:fldChar w:fldCharType="begin"/>
      </w:r>
      <w:r>
        <w:instrText xml:space="preserve"> PAGEREF _Toc446330752 \h </w:instrText>
      </w:r>
      <w:r>
        <w:fldChar w:fldCharType="separate"/>
      </w:r>
      <w:r>
        <w:t>123</w:t>
      </w:r>
      <w:r>
        <w:fldChar w:fldCharType="end"/>
      </w:r>
      <w:r>
        <w:fldChar w:fldCharType="end"/>
      </w:r>
    </w:p>
    <w:p>
      <w:pPr>
        <w:pStyle w:val="10"/>
        <w:tabs>
          <w:tab w:val="right" w:leader="dot" w:pos="8296"/>
        </w:tabs>
        <w:rPr>
          <w:kern w:val="2"/>
          <w:sz w:val="21"/>
        </w:rPr>
      </w:pPr>
      <w:r>
        <w:fldChar w:fldCharType="begin"/>
      </w:r>
      <w:r>
        <w:instrText xml:space="preserve"> HYPERLINK \l "_Toc446330753" </w:instrText>
      </w:r>
      <w:r>
        <w:fldChar w:fldCharType="separate"/>
      </w:r>
      <w:r>
        <w:rPr>
          <w:rStyle w:val="15"/>
          <w:rFonts w:hint="eastAsia"/>
          <w:b/>
          <w:sz w:val="28"/>
          <w:szCs w:val="28"/>
        </w:rPr>
        <w:t>观点探讨</w:t>
      </w:r>
      <w:r>
        <w:tab/>
      </w:r>
      <w:r>
        <w:fldChar w:fldCharType="begin"/>
      </w:r>
      <w:r>
        <w:instrText xml:space="preserve"> PAGEREF _Toc446330753 \h </w:instrText>
      </w:r>
      <w:r>
        <w:fldChar w:fldCharType="separate"/>
      </w:r>
      <w:r>
        <w:t>126</w:t>
      </w:r>
      <w:r>
        <w:fldChar w:fldCharType="end"/>
      </w:r>
      <w:r>
        <w:fldChar w:fldCharType="end"/>
      </w:r>
    </w:p>
    <w:p>
      <w:pPr>
        <w:pStyle w:val="11"/>
        <w:tabs>
          <w:tab w:val="right" w:leader="dot" w:pos="8296"/>
        </w:tabs>
        <w:rPr>
          <w:kern w:val="2"/>
          <w:sz w:val="21"/>
        </w:rPr>
      </w:pPr>
      <w:r>
        <w:fldChar w:fldCharType="begin"/>
      </w:r>
      <w:r>
        <w:instrText xml:space="preserve"> HYPERLINK \l "_Toc446330754" </w:instrText>
      </w:r>
      <w:r>
        <w:fldChar w:fldCharType="separate"/>
      </w:r>
      <w:r>
        <w:rPr>
          <w:rStyle w:val="15"/>
          <w:rFonts w:hint="eastAsia"/>
        </w:rPr>
        <w:t>雾霾经济之新能源车</w:t>
      </w:r>
      <w:r>
        <w:rPr>
          <w:rStyle w:val="15"/>
        </w:rPr>
        <w:t> </w:t>
      </w:r>
      <w:r>
        <w:rPr>
          <w:rStyle w:val="15"/>
          <w:rFonts w:hint="eastAsia"/>
        </w:rPr>
        <w:t>聚光灯下的新赌局</w:t>
      </w:r>
      <w:r>
        <w:tab/>
      </w:r>
      <w:r>
        <w:fldChar w:fldCharType="begin"/>
      </w:r>
      <w:r>
        <w:instrText xml:space="preserve"> PAGEREF _Toc446330754 \h </w:instrText>
      </w:r>
      <w:r>
        <w:fldChar w:fldCharType="separate"/>
      </w:r>
      <w:r>
        <w:t>126</w:t>
      </w:r>
      <w:r>
        <w:fldChar w:fldCharType="end"/>
      </w:r>
      <w:r>
        <w:fldChar w:fldCharType="end"/>
      </w:r>
    </w:p>
    <w:p>
      <w:pPr>
        <w:pStyle w:val="11"/>
        <w:tabs>
          <w:tab w:val="right" w:leader="dot" w:pos="8296"/>
        </w:tabs>
        <w:rPr>
          <w:kern w:val="2"/>
          <w:sz w:val="21"/>
        </w:rPr>
      </w:pPr>
      <w:r>
        <w:fldChar w:fldCharType="begin"/>
      </w:r>
      <w:r>
        <w:instrText xml:space="preserve"> HYPERLINK \l "_Toc446330755" </w:instrText>
      </w:r>
      <w:r>
        <w:fldChar w:fldCharType="separate"/>
      </w:r>
      <w:r>
        <w:rPr>
          <w:rStyle w:val="15"/>
          <w:rFonts w:hint="eastAsia"/>
        </w:rPr>
        <w:t>如何实现应收账款质押权</w:t>
      </w:r>
      <w:r>
        <w:rPr>
          <w:rStyle w:val="15"/>
        </w:rPr>
        <w:t>——</w:t>
      </w:r>
      <w:r>
        <w:rPr>
          <w:rStyle w:val="15"/>
          <w:rFonts w:hint="eastAsia"/>
        </w:rPr>
        <w:t>从最高院第</w:t>
      </w:r>
      <w:r>
        <w:rPr>
          <w:rStyle w:val="15"/>
        </w:rPr>
        <w:t>53</w:t>
      </w:r>
      <w:r>
        <w:rPr>
          <w:rStyle w:val="15"/>
          <w:rFonts w:hint="eastAsia"/>
        </w:rPr>
        <w:t>号指导案例说起</w:t>
      </w:r>
      <w:r>
        <w:tab/>
      </w:r>
      <w:r>
        <w:fldChar w:fldCharType="begin"/>
      </w:r>
      <w:r>
        <w:instrText xml:space="preserve"> PAGEREF _Toc446330755 \h </w:instrText>
      </w:r>
      <w:r>
        <w:fldChar w:fldCharType="separate"/>
      </w:r>
      <w:r>
        <w:t>138</w:t>
      </w:r>
      <w:r>
        <w:fldChar w:fldCharType="end"/>
      </w:r>
      <w:r>
        <w:fldChar w:fldCharType="end"/>
      </w:r>
    </w:p>
    <w:p>
      <w:pPr>
        <w:pStyle w:val="11"/>
        <w:tabs>
          <w:tab w:val="right" w:leader="dot" w:pos="8296"/>
        </w:tabs>
        <w:rPr>
          <w:kern w:val="2"/>
          <w:sz w:val="21"/>
        </w:rPr>
      </w:pPr>
      <w:r>
        <w:fldChar w:fldCharType="begin"/>
      </w:r>
      <w:r>
        <w:instrText xml:space="preserve"> HYPERLINK \l "_Toc446330756" </w:instrText>
      </w:r>
      <w:r>
        <w:fldChar w:fldCharType="separate"/>
      </w:r>
      <w:r>
        <w:rPr>
          <w:rStyle w:val="15"/>
          <w:rFonts w:hint="eastAsia"/>
        </w:rPr>
        <w:t>融资租入固定资产能否适用“双加”优惠？</w:t>
      </w:r>
      <w:r>
        <w:tab/>
      </w:r>
      <w:r>
        <w:fldChar w:fldCharType="begin"/>
      </w:r>
      <w:r>
        <w:instrText xml:space="preserve"> PAGEREF _Toc446330756 \h </w:instrText>
      </w:r>
      <w:r>
        <w:fldChar w:fldCharType="separate"/>
      </w:r>
      <w:r>
        <w:t>143</w:t>
      </w:r>
      <w:r>
        <w:fldChar w:fldCharType="end"/>
      </w:r>
      <w:r>
        <w:fldChar w:fldCharType="end"/>
      </w:r>
    </w:p>
    <w:p>
      <w:pPr>
        <w:pStyle w:val="11"/>
        <w:tabs>
          <w:tab w:val="right" w:leader="dot" w:pos="8296"/>
        </w:tabs>
        <w:rPr>
          <w:kern w:val="2"/>
          <w:sz w:val="21"/>
        </w:rPr>
      </w:pPr>
      <w:r>
        <w:fldChar w:fldCharType="begin"/>
      </w:r>
      <w:r>
        <w:instrText xml:space="preserve"> HYPERLINK \l "_Toc446330757" </w:instrText>
      </w:r>
      <w:r>
        <w:fldChar w:fldCharType="separate"/>
      </w:r>
      <w:r>
        <w:rPr>
          <w:rStyle w:val="15"/>
          <w:rFonts w:asciiTheme="minorEastAsia" w:hAnsiTheme="minorEastAsia"/>
        </w:rPr>
        <w:t>P2P</w:t>
      </w:r>
      <w:r>
        <w:rPr>
          <w:rStyle w:val="15"/>
          <w:rFonts w:hint="eastAsia" w:asciiTheme="minorEastAsia" w:hAnsiTheme="minorEastAsia"/>
        </w:rPr>
        <w:t>网贷平台与融资租赁合作模式的五大风险</w:t>
      </w:r>
      <w:r>
        <w:tab/>
      </w:r>
      <w:r>
        <w:fldChar w:fldCharType="begin"/>
      </w:r>
      <w:r>
        <w:instrText xml:space="preserve"> PAGEREF _Toc446330757 \h </w:instrText>
      </w:r>
      <w:r>
        <w:fldChar w:fldCharType="separate"/>
      </w:r>
      <w:r>
        <w:t>145</w:t>
      </w:r>
      <w:r>
        <w:fldChar w:fldCharType="end"/>
      </w:r>
      <w:r>
        <w:fldChar w:fldCharType="end"/>
      </w:r>
    </w:p>
    <w:p>
      <w:pPr>
        <w:jc w:val="center"/>
      </w:pPr>
      <w:r>
        <w:rPr>
          <w:b/>
          <w:bCs/>
          <w:sz w:val="52"/>
          <w:szCs w:val="52"/>
        </w:rPr>
        <w:fldChar w:fldCharType="end"/>
      </w:r>
    </w:p>
    <w:p>
      <w:pPr>
        <w:rPr>
          <w:rFonts w:ascii="宋体" w:hAnsi="宋体" w:cs="宋体"/>
          <w:szCs w:val="21"/>
        </w:rPr>
      </w:pPr>
      <w:r>
        <w:rPr>
          <w:rFonts w:hint="eastAsia" w:ascii="宋体" w:hAnsi="宋体" w:cs="宋体"/>
          <w:b/>
          <w:bCs/>
          <w:szCs w:val="21"/>
        </w:rPr>
        <w:drawing>
          <wp:anchor distT="0" distB="0" distL="114300" distR="114300" simplePos="0" relativeHeight="251661312" behindDoc="0" locked="0" layoutInCell="1" allowOverlap="1">
            <wp:simplePos x="0" y="0"/>
            <wp:positionH relativeFrom="column">
              <wp:posOffset>3895725</wp:posOffset>
            </wp:positionH>
            <wp:positionV relativeFrom="paragraph">
              <wp:posOffset>136525</wp:posOffset>
            </wp:positionV>
            <wp:extent cx="1323975" cy="1323975"/>
            <wp:effectExtent l="19050" t="0" r="9525" b="0"/>
            <wp:wrapNone/>
            <wp:docPr id="28" name="图片 77" descr="协会官方微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7" descr="协会官方微信"/>
                    <pic:cNvPicPr>
                      <a:picLocks noChangeAspect="1" noChangeArrowheads="1"/>
                    </pic:cNvPicPr>
                  </pic:nvPicPr>
                  <pic:blipFill>
                    <a:blip r:embed="rId7" cstate="print"/>
                    <a:srcRect/>
                    <a:stretch>
                      <a:fillRect/>
                    </a:stretch>
                  </pic:blipFill>
                  <pic:spPr>
                    <a:xfrm>
                      <a:off x="0" y="0"/>
                      <a:ext cx="1321589" cy="1321589"/>
                    </a:xfrm>
                    <a:prstGeom prst="rect">
                      <a:avLst/>
                    </a:prstGeom>
                    <a:noFill/>
                    <a:ln w="9525">
                      <a:noFill/>
                      <a:miter lim="800000"/>
                      <a:headEnd/>
                      <a:tailEnd/>
                    </a:ln>
                  </pic:spPr>
                </pic:pic>
              </a:graphicData>
            </a:graphic>
          </wp:anchor>
        </w:drawing>
      </w:r>
      <w:r>
        <w:rPr>
          <w:rFonts w:ascii="宋体" w:hAnsi="宋体" w:cs="宋体"/>
          <w:szCs w:val="21"/>
        </w:rPr>
        <w:pict>
          <v:line id="直线 76" o:spid="_x0000_s2050" o:spt="20" style="position:absolute;left:0pt;margin-left:11.6pt;margin-top:1.35pt;height:0.05pt;width:413.9pt;z-index:251660288;mso-width-relative:page;mso-height-relative:page;" stroked="t" coordsize="21600,21600">
            <v:path arrowok="t"/>
            <v:fill focussize="0,0"/>
            <v:stroke weight="1.25pt" color="#739CC3"/>
            <v:imagedata o:title=""/>
            <o:lock v:ext="edit"/>
          </v:line>
        </w:pict>
      </w:r>
    </w:p>
    <w:p>
      <w:pPr>
        <w:spacing w:line="360" w:lineRule="auto"/>
        <w:rPr>
          <w:rFonts w:ascii="宋体" w:hAnsi="宋体" w:cs="宋体"/>
          <w:b/>
          <w:bCs/>
          <w:szCs w:val="21"/>
        </w:rPr>
      </w:pPr>
      <w:r>
        <w:rPr>
          <w:rFonts w:hint="eastAsia" w:ascii="宋体" w:hAnsi="宋体" w:cs="宋体"/>
          <w:szCs w:val="21"/>
        </w:rPr>
        <w:t xml:space="preserve">   </w:t>
      </w:r>
      <w:r>
        <w:rPr>
          <w:rFonts w:hint="eastAsia" w:ascii="宋体" w:hAnsi="宋体" w:cs="宋体"/>
          <w:b/>
          <w:bCs/>
          <w:szCs w:val="21"/>
        </w:rPr>
        <w:t>协会官方网站：</w:t>
      </w:r>
      <w:r>
        <w:fldChar w:fldCharType="begin"/>
      </w:r>
      <w:r>
        <w:instrText xml:space="preserve"> HYPERLINK "http://www.bjzl.org.cn" </w:instrText>
      </w:r>
      <w:r>
        <w:fldChar w:fldCharType="separate"/>
      </w:r>
      <w:r>
        <w:rPr>
          <w:rStyle w:val="15"/>
          <w:rFonts w:hint="eastAsia" w:ascii="宋体" w:hAnsi="宋体" w:cs="宋体"/>
          <w:szCs w:val="21"/>
        </w:rPr>
        <w:t>www.bjzl.org.cn</w:t>
      </w:r>
      <w:r>
        <w:rPr>
          <w:rStyle w:val="15"/>
          <w:rFonts w:hint="eastAsia" w:ascii="宋体" w:hAnsi="宋体" w:cs="宋体"/>
          <w:szCs w:val="21"/>
        </w:rPr>
        <w:fldChar w:fldCharType="end"/>
      </w:r>
    </w:p>
    <w:p>
      <w:pPr>
        <w:spacing w:line="360" w:lineRule="auto"/>
        <w:rPr>
          <w:rFonts w:ascii="宋体" w:hAnsi="宋体" w:cs="宋体"/>
          <w:szCs w:val="21"/>
        </w:rPr>
      </w:pPr>
      <w:r>
        <w:rPr>
          <w:rFonts w:hint="eastAsia" w:ascii="宋体" w:hAnsi="宋体" w:cs="宋体"/>
          <w:b/>
          <w:bCs/>
          <w:szCs w:val="21"/>
        </w:rPr>
        <w:t xml:space="preserve">   协会邮箱：bjzl2002@sina.com</w:t>
      </w:r>
    </w:p>
    <w:p>
      <w:pPr>
        <w:spacing w:line="360" w:lineRule="auto"/>
        <w:rPr>
          <w:rFonts w:ascii="宋体" w:hAnsi="宋体" w:cs="宋体"/>
          <w:b/>
          <w:bCs/>
          <w:szCs w:val="21"/>
        </w:rPr>
      </w:pPr>
      <w:r>
        <w:rPr>
          <w:rFonts w:hint="eastAsia" w:ascii="宋体" w:hAnsi="宋体" w:cs="宋体"/>
          <w:b/>
          <w:bCs/>
          <w:szCs w:val="21"/>
        </w:rPr>
        <w:t xml:space="preserve">   协会联系人：张雪飞常务副秘书长、王铮</w:t>
      </w:r>
      <w:r>
        <w:rPr>
          <w:rFonts w:hint="eastAsia" w:ascii="宋体" w:hAnsi="宋体" w:cs="宋体"/>
          <w:b/>
          <w:bCs/>
          <w:szCs w:val="21"/>
          <w:lang w:eastAsia="zh-CN"/>
        </w:rPr>
        <w:t>会员部主任</w:t>
      </w:r>
      <w:bookmarkStart w:id="228" w:name="_GoBack"/>
      <w:bookmarkEnd w:id="228"/>
      <w:r>
        <w:rPr>
          <w:rFonts w:hint="eastAsia" w:ascii="宋体" w:hAnsi="宋体" w:cs="宋体"/>
          <w:b/>
          <w:bCs/>
          <w:szCs w:val="21"/>
        </w:rPr>
        <w:t xml:space="preserve">               </w:t>
      </w:r>
    </w:p>
    <w:p>
      <w:pPr>
        <w:spacing w:line="360" w:lineRule="auto"/>
        <w:rPr>
          <w:rFonts w:ascii="宋体" w:hAnsi="宋体" w:cs="宋体"/>
          <w:b/>
          <w:bCs/>
          <w:szCs w:val="21"/>
        </w:rPr>
      </w:pPr>
      <w:r>
        <w:rPr>
          <w:rFonts w:hint="eastAsia" w:ascii="宋体" w:hAnsi="宋体" w:cs="宋体"/>
          <w:b/>
          <w:bCs/>
          <w:szCs w:val="21"/>
        </w:rPr>
        <w:t xml:space="preserve">   协会电话：010-63463231、67150700</w:t>
      </w:r>
    </w:p>
    <w:p>
      <w:pPr>
        <w:pStyle w:val="2"/>
      </w:pPr>
      <w:bookmarkStart w:id="1" w:name="_Toc436148274"/>
      <w:bookmarkStart w:id="2" w:name="_Toc436148322"/>
      <w:bookmarkStart w:id="3" w:name="_Toc446322468"/>
      <w:bookmarkStart w:id="4" w:name="_Toc446324671"/>
      <w:bookmarkStart w:id="5" w:name="_Toc446330713"/>
      <w:bookmarkStart w:id="6" w:name="_Toc446326741"/>
      <w:bookmarkStart w:id="7" w:name="_Toc446330610"/>
      <w:r>
        <w:rPr>
          <w:rFonts w:hint="eastAsia"/>
        </w:rPr>
        <w:t>协会讯息</w:t>
      </w:r>
      <w:bookmarkEnd w:id="0"/>
      <w:bookmarkEnd w:id="1"/>
      <w:bookmarkEnd w:id="2"/>
      <w:bookmarkEnd w:id="3"/>
      <w:bookmarkEnd w:id="4"/>
      <w:bookmarkEnd w:id="5"/>
      <w:bookmarkEnd w:id="6"/>
      <w:bookmarkEnd w:id="7"/>
      <w:r>
        <w:rPr>
          <w:rFonts w:hint="eastAsia"/>
        </w:rPr>
        <w:t xml:space="preserve"> </w:t>
      </w:r>
    </w:p>
    <w:p>
      <w:pPr>
        <w:pStyle w:val="3"/>
        <w:jc w:val="center"/>
        <w:rPr>
          <w:rFonts w:asciiTheme="minorEastAsia" w:hAnsiTheme="minorEastAsia" w:eastAsiaTheme="minorEastAsia"/>
        </w:rPr>
      </w:pPr>
      <w:bookmarkStart w:id="8" w:name="_Toc446324672"/>
      <w:bookmarkStart w:id="9" w:name="_Toc446322469"/>
      <w:bookmarkStart w:id="10" w:name="_Toc446326742"/>
      <w:bookmarkStart w:id="11" w:name="_Toc446330611"/>
      <w:bookmarkStart w:id="12" w:name="_Toc446330714"/>
      <w:r>
        <w:rPr>
          <w:rFonts w:asciiTheme="minorEastAsia" w:hAnsiTheme="minorEastAsia" w:eastAsiaTheme="minorEastAsia"/>
        </w:rPr>
        <w:t>2015年北京市租赁行业工作总结会 暨京津冀一体化融资租赁聚集区交流会 ---第四届京交会金融服务板块融资租赁专题前期推介会召开</w:t>
      </w:r>
      <w:bookmarkEnd w:id="8"/>
      <w:bookmarkEnd w:id="9"/>
      <w:bookmarkEnd w:id="10"/>
      <w:bookmarkEnd w:id="11"/>
      <w:bookmarkEnd w:id="12"/>
    </w:p>
    <w:p>
      <w:pPr>
        <w:spacing w:line="360" w:lineRule="auto"/>
        <w:ind w:firstLine="560" w:firstLineChars="200"/>
        <w:jc w:val="left"/>
        <w:rPr>
          <w:rFonts w:asciiTheme="minorEastAsia" w:hAnsiTheme="minorEastAsia"/>
          <w:sz w:val="28"/>
          <w:szCs w:val="28"/>
        </w:rPr>
      </w:pPr>
      <w:r>
        <w:rPr>
          <w:rFonts w:hint="eastAsia" w:asciiTheme="minorEastAsia" w:hAnsiTheme="minorEastAsia"/>
          <w:sz w:val="28"/>
          <w:szCs w:val="28"/>
        </w:rPr>
        <w:t>在北京市商务委员会的指导下，由北京市租赁行业协会、顺义区商务委员会、顺义区金融服务办公室、北京市临空经济核心区管理委员会于</w:t>
      </w:r>
      <w:r>
        <w:rPr>
          <w:rFonts w:asciiTheme="minorEastAsia" w:hAnsiTheme="minorEastAsia"/>
          <w:sz w:val="28"/>
          <w:szCs w:val="28"/>
        </w:rPr>
        <w:t>2016</w:t>
      </w:r>
      <w:r>
        <w:rPr>
          <w:rFonts w:hint="eastAsia" w:asciiTheme="minorEastAsia" w:hAnsiTheme="minorEastAsia"/>
          <w:sz w:val="28"/>
          <w:szCs w:val="28"/>
        </w:rPr>
        <w:t>年</w:t>
      </w:r>
      <w:r>
        <w:rPr>
          <w:rFonts w:asciiTheme="minorEastAsia" w:hAnsiTheme="minorEastAsia"/>
          <w:sz w:val="28"/>
          <w:szCs w:val="28"/>
        </w:rPr>
        <w:t>1</w:t>
      </w:r>
      <w:r>
        <w:rPr>
          <w:rFonts w:hint="eastAsia" w:asciiTheme="minorEastAsia" w:hAnsiTheme="minorEastAsia"/>
          <w:sz w:val="28"/>
          <w:szCs w:val="28"/>
        </w:rPr>
        <w:t>月</w:t>
      </w:r>
      <w:r>
        <w:rPr>
          <w:rFonts w:asciiTheme="minorEastAsia" w:hAnsiTheme="minorEastAsia"/>
          <w:sz w:val="28"/>
          <w:szCs w:val="28"/>
        </w:rPr>
        <w:t>21</w:t>
      </w:r>
      <w:r>
        <w:rPr>
          <w:rFonts w:hint="eastAsia" w:asciiTheme="minorEastAsia" w:hAnsiTheme="minorEastAsia"/>
          <w:sz w:val="28"/>
          <w:szCs w:val="28"/>
        </w:rPr>
        <w:t>日在北京丰荣君华酒店共同主办召开了“</w:t>
      </w:r>
      <w:r>
        <w:rPr>
          <w:rFonts w:asciiTheme="minorEastAsia" w:hAnsiTheme="minorEastAsia"/>
          <w:sz w:val="28"/>
          <w:szCs w:val="28"/>
        </w:rPr>
        <w:t>2015</w:t>
      </w:r>
      <w:r>
        <w:rPr>
          <w:rFonts w:hint="eastAsia" w:asciiTheme="minorEastAsia" w:hAnsiTheme="minorEastAsia"/>
          <w:sz w:val="28"/>
          <w:szCs w:val="28"/>
        </w:rPr>
        <w:t>年北京市租赁行业工作总结会暨京津冀一体化融资租赁聚集区交流会</w:t>
      </w:r>
      <w:r>
        <w:rPr>
          <w:rFonts w:asciiTheme="minorEastAsia" w:hAnsiTheme="minorEastAsia"/>
          <w:sz w:val="28"/>
          <w:szCs w:val="28"/>
        </w:rPr>
        <w:t>—</w:t>
      </w:r>
      <w:r>
        <w:rPr>
          <w:rFonts w:hint="eastAsia" w:asciiTheme="minorEastAsia" w:hAnsiTheme="minorEastAsia"/>
          <w:sz w:val="28"/>
          <w:szCs w:val="28"/>
        </w:rPr>
        <w:t>第四届京交会金融服务板块融资租赁专题前期推介会”。</w:t>
      </w:r>
    </w:p>
    <w:p>
      <w:pPr>
        <w:spacing w:line="360" w:lineRule="auto"/>
        <w:ind w:firstLine="560" w:firstLineChars="200"/>
        <w:jc w:val="left"/>
        <w:rPr>
          <w:rFonts w:asciiTheme="minorEastAsia" w:hAnsiTheme="minorEastAsia"/>
          <w:sz w:val="28"/>
          <w:szCs w:val="28"/>
        </w:rPr>
      </w:pPr>
      <w:r>
        <w:rPr>
          <w:rFonts w:hint="eastAsia" w:asciiTheme="minorEastAsia" w:hAnsiTheme="minorEastAsia"/>
          <w:sz w:val="28"/>
          <w:szCs w:val="28"/>
        </w:rPr>
        <w:t>参加此次会议的有融资租赁企业、租赁企业、有关服务企业、顺义区各有关银行、金融机构代表共</w:t>
      </w:r>
      <w:r>
        <w:rPr>
          <w:rFonts w:asciiTheme="minorEastAsia" w:hAnsiTheme="minorEastAsia"/>
          <w:sz w:val="28"/>
          <w:szCs w:val="28"/>
        </w:rPr>
        <w:t>150</w:t>
      </w:r>
      <w:r>
        <w:rPr>
          <w:rFonts w:hint="eastAsia" w:asciiTheme="minorEastAsia" w:hAnsiTheme="minorEastAsia"/>
          <w:sz w:val="28"/>
          <w:szCs w:val="28"/>
        </w:rPr>
        <w:t>人左右。</w:t>
      </w:r>
    </w:p>
    <w:p>
      <w:pPr>
        <w:spacing w:line="360" w:lineRule="auto"/>
        <w:ind w:firstLine="560" w:firstLineChars="200"/>
        <w:jc w:val="left"/>
        <w:rPr>
          <w:rFonts w:asciiTheme="minorEastAsia" w:hAnsiTheme="minorEastAsia"/>
          <w:sz w:val="28"/>
          <w:szCs w:val="28"/>
        </w:rPr>
      </w:pPr>
      <w:r>
        <w:rPr>
          <w:rFonts w:hint="eastAsia" w:asciiTheme="minorEastAsia" w:hAnsiTheme="minorEastAsia"/>
          <w:sz w:val="28"/>
          <w:szCs w:val="28"/>
        </w:rPr>
        <w:t>北京天竺综合保税区管委会委员、党组成员，北京临空经济核心区工委书记、管委会主任张爱冬、北京市商务委员会服务交易处副处长魏拓、外资管理处副处长杨洋、北京市租赁行业协会会长、中国融资租赁企业协会副会长张巨光、中国融资租赁企业协会副会长秦群、北京临空经济核心区管委会副主任董敬红、北京市金融服务办公室主任周继武、顺义区商务委员会副主任朱广军等领导参加了会议。</w:t>
      </w:r>
    </w:p>
    <w:p>
      <w:pPr>
        <w:spacing w:line="360" w:lineRule="auto"/>
        <w:ind w:firstLine="560" w:firstLineChars="200"/>
        <w:jc w:val="left"/>
        <w:rPr>
          <w:rFonts w:asciiTheme="minorEastAsia" w:hAnsiTheme="minorEastAsia"/>
          <w:sz w:val="28"/>
          <w:szCs w:val="28"/>
        </w:rPr>
      </w:pPr>
      <w:r>
        <w:rPr>
          <w:rFonts w:hint="eastAsia" w:asciiTheme="minorEastAsia" w:hAnsiTheme="minorEastAsia"/>
          <w:sz w:val="28"/>
          <w:szCs w:val="28"/>
        </w:rPr>
        <w:t>张爱冬主任首先发言，祝贺会议召开，并就北京临空经济核心区的发展及未来前景、京津冀一体化发展等主题向参会嘉宾做了深入细致的介绍，引起了大家对北京临空经济核心区新的认识，使得大家对参与北京临空经济核心区的建设充满渴望。</w:t>
      </w:r>
    </w:p>
    <w:p>
      <w:pPr>
        <w:spacing w:line="360" w:lineRule="auto"/>
        <w:ind w:firstLine="560" w:firstLineChars="200"/>
        <w:jc w:val="left"/>
        <w:rPr>
          <w:rFonts w:asciiTheme="minorEastAsia" w:hAnsiTheme="minorEastAsia"/>
          <w:sz w:val="28"/>
          <w:szCs w:val="28"/>
        </w:rPr>
      </w:pPr>
      <w:r>
        <w:rPr>
          <w:rFonts w:hint="eastAsia" w:asciiTheme="minorEastAsia" w:hAnsiTheme="minorEastAsia"/>
          <w:sz w:val="28"/>
          <w:szCs w:val="28"/>
        </w:rPr>
        <w:t>会上，北京市商务委的魏处长和杨处长分别从内外资融资租赁监管角度对融资租赁发展、融资租赁监管、融资租赁如何服务于提高北京生活性服务业品质、行业协会发展等方面作了非常精彩的发言，得到了与会企业和嘉宾的高度认同。魏处长对北京市租赁行业协会刚刚结束的换届选举表示祝贺；二位处长在发言中都对张巨光会长代表北京市租赁行业协会所作的工作报告表示认可，在充分肯定协会</w:t>
      </w:r>
      <w:r>
        <w:rPr>
          <w:rFonts w:asciiTheme="minorEastAsia" w:hAnsiTheme="minorEastAsia"/>
          <w:sz w:val="28"/>
          <w:szCs w:val="28"/>
        </w:rPr>
        <w:t>2015</w:t>
      </w:r>
      <w:r>
        <w:rPr>
          <w:rFonts w:hint="eastAsia" w:asciiTheme="minorEastAsia" w:hAnsiTheme="minorEastAsia"/>
          <w:sz w:val="28"/>
          <w:szCs w:val="28"/>
        </w:rPr>
        <w:t>年工作的同时，又向协会提出了</w:t>
      </w:r>
      <w:r>
        <w:rPr>
          <w:rFonts w:asciiTheme="minorEastAsia" w:hAnsiTheme="minorEastAsia"/>
          <w:sz w:val="28"/>
          <w:szCs w:val="28"/>
        </w:rPr>
        <w:t>2016</w:t>
      </w:r>
      <w:r>
        <w:rPr>
          <w:rFonts w:hint="eastAsia" w:asciiTheme="minorEastAsia" w:hAnsiTheme="minorEastAsia"/>
          <w:sz w:val="28"/>
          <w:szCs w:val="28"/>
        </w:rPr>
        <w:t>年新的要求和期望，这对协会的工作将起到非常大的促进作用。</w:t>
      </w:r>
    </w:p>
    <w:p>
      <w:pPr>
        <w:spacing w:line="360" w:lineRule="auto"/>
        <w:ind w:firstLine="560" w:firstLineChars="200"/>
        <w:jc w:val="left"/>
        <w:rPr>
          <w:rFonts w:asciiTheme="minorEastAsia" w:hAnsiTheme="minorEastAsia"/>
          <w:sz w:val="28"/>
          <w:szCs w:val="28"/>
        </w:rPr>
      </w:pPr>
      <w:r>
        <w:rPr>
          <w:rFonts w:hint="eastAsia" w:asciiTheme="minorEastAsia" w:hAnsiTheme="minorEastAsia"/>
          <w:sz w:val="28"/>
          <w:szCs w:val="28"/>
        </w:rPr>
        <w:t>会上各位参会嘉宾和企业代表还了解了</w:t>
      </w:r>
      <w:r>
        <w:rPr>
          <w:rFonts w:asciiTheme="minorEastAsia" w:hAnsiTheme="minorEastAsia"/>
          <w:sz w:val="28"/>
          <w:szCs w:val="28"/>
        </w:rPr>
        <w:t>2016</w:t>
      </w:r>
      <w:r>
        <w:rPr>
          <w:rFonts w:hint="eastAsia" w:asciiTheme="minorEastAsia" w:hAnsiTheme="minorEastAsia"/>
          <w:sz w:val="28"/>
          <w:szCs w:val="28"/>
        </w:rPr>
        <w:t>年第四届京交会的情况，对金融服务板块中有关融资租赁方面的内容充满期待。</w:t>
      </w:r>
    </w:p>
    <w:p>
      <w:pPr>
        <w:spacing w:line="360" w:lineRule="auto"/>
        <w:ind w:firstLine="560" w:firstLineChars="200"/>
        <w:jc w:val="left"/>
        <w:rPr>
          <w:rFonts w:asciiTheme="minorEastAsia" w:hAnsiTheme="minorEastAsia"/>
          <w:sz w:val="28"/>
          <w:szCs w:val="28"/>
        </w:rPr>
      </w:pPr>
      <w:r>
        <w:rPr>
          <w:rFonts w:hint="eastAsia" w:asciiTheme="minorEastAsia" w:hAnsiTheme="minorEastAsia"/>
          <w:sz w:val="28"/>
          <w:szCs w:val="28"/>
        </w:rPr>
        <w:t>会上，对本年度杰出的融资租赁企业、租赁企业、服务企业进行了表彰，共有</w:t>
      </w:r>
      <w:r>
        <w:rPr>
          <w:rFonts w:asciiTheme="minorEastAsia" w:hAnsiTheme="minorEastAsia"/>
          <w:sz w:val="28"/>
          <w:szCs w:val="28"/>
        </w:rPr>
        <w:t>31</w:t>
      </w:r>
      <w:r>
        <w:rPr>
          <w:rFonts w:hint="eastAsia" w:asciiTheme="minorEastAsia" w:hAnsiTheme="minorEastAsia"/>
          <w:sz w:val="28"/>
          <w:szCs w:val="28"/>
        </w:rPr>
        <w:t>家企业获得了奖牌。北京市商务委魏处长、杨处长以及北京市租赁行业协会张会长向获奖企业代表颁发了奖牌（获奖企业名单附后）。获奖企业代表中车投资租赁有限公司林桐、基石国际融资租赁有限公司总经理薛君在会上发表了获奖感言。</w:t>
      </w:r>
    </w:p>
    <w:p>
      <w:pPr>
        <w:spacing w:line="360" w:lineRule="auto"/>
        <w:ind w:firstLine="560" w:firstLineChars="200"/>
        <w:jc w:val="left"/>
        <w:rPr>
          <w:rFonts w:asciiTheme="minorEastAsia" w:hAnsiTheme="minorEastAsia"/>
          <w:sz w:val="28"/>
          <w:szCs w:val="28"/>
        </w:rPr>
      </w:pPr>
      <w:r>
        <w:rPr>
          <w:rFonts w:hint="eastAsia" w:asciiTheme="minorEastAsia" w:hAnsiTheme="minorEastAsia"/>
          <w:sz w:val="28"/>
          <w:szCs w:val="28"/>
        </w:rPr>
        <w:t>本次会议由北京市租赁行业协会第四届秘书长王梅女士主持。本次会议由北京市顺义区金担协会和北京市顺义区新金融商会联合承办。</w:t>
      </w:r>
    </w:p>
    <w:p>
      <w:pPr>
        <w:spacing w:line="360" w:lineRule="auto"/>
        <w:ind w:firstLine="560" w:firstLineChars="200"/>
        <w:jc w:val="left"/>
        <w:rPr>
          <w:rFonts w:asciiTheme="minorEastAsia" w:hAnsiTheme="minorEastAsia"/>
          <w:sz w:val="28"/>
          <w:szCs w:val="28"/>
        </w:rPr>
      </w:pPr>
    </w:p>
    <w:p>
      <w:pPr>
        <w:spacing w:line="360" w:lineRule="auto"/>
        <w:ind w:firstLine="560" w:firstLineChars="200"/>
        <w:jc w:val="left"/>
        <w:rPr>
          <w:rFonts w:asciiTheme="minorEastAsia" w:hAnsiTheme="minorEastAsia"/>
          <w:sz w:val="28"/>
          <w:szCs w:val="28"/>
        </w:rPr>
      </w:pPr>
      <w:r>
        <w:rPr>
          <w:rFonts w:hint="eastAsia" w:asciiTheme="minorEastAsia" w:hAnsiTheme="minorEastAsia"/>
          <w:sz w:val="28"/>
          <w:szCs w:val="28"/>
        </w:rPr>
        <w:t>附件：获奖企业名单</w:t>
      </w:r>
    </w:p>
    <w:p>
      <w:pPr>
        <w:spacing w:line="360" w:lineRule="auto"/>
        <w:ind w:firstLine="562" w:firstLineChars="200"/>
        <w:jc w:val="center"/>
        <w:rPr>
          <w:rFonts w:asciiTheme="minorEastAsia" w:hAnsiTheme="minorEastAsia"/>
          <w:sz w:val="28"/>
          <w:szCs w:val="28"/>
        </w:rPr>
      </w:pPr>
      <w:r>
        <w:rPr>
          <w:rStyle w:val="14"/>
          <w:rFonts w:hint="eastAsia" w:asciiTheme="minorEastAsia" w:hAnsiTheme="minorEastAsia"/>
          <w:color w:val="3E3E3E"/>
          <w:sz w:val="28"/>
          <w:szCs w:val="28"/>
        </w:rPr>
        <w:t>“</w:t>
      </w:r>
      <w:r>
        <w:rPr>
          <w:rStyle w:val="14"/>
          <w:rFonts w:asciiTheme="minorEastAsia" w:hAnsiTheme="minorEastAsia"/>
          <w:color w:val="3E3E3E"/>
          <w:sz w:val="28"/>
          <w:szCs w:val="28"/>
        </w:rPr>
        <w:t>2015</w:t>
      </w:r>
      <w:r>
        <w:rPr>
          <w:rStyle w:val="14"/>
          <w:rFonts w:hint="eastAsia" w:asciiTheme="minorEastAsia" w:hAnsiTheme="minorEastAsia"/>
          <w:color w:val="3E3E3E"/>
          <w:sz w:val="28"/>
          <w:szCs w:val="28"/>
        </w:rPr>
        <w:t>年融资租赁十强企业”名单</w:t>
      </w:r>
    </w:p>
    <w:p>
      <w:pPr>
        <w:spacing w:line="360" w:lineRule="auto"/>
        <w:ind w:firstLine="560" w:firstLineChars="200"/>
        <w:jc w:val="left"/>
        <w:rPr>
          <w:rFonts w:asciiTheme="minorEastAsia" w:hAnsiTheme="minorEastAsia"/>
          <w:sz w:val="28"/>
          <w:szCs w:val="28"/>
        </w:rPr>
      </w:pPr>
      <w:r>
        <w:rPr>
          <w:rFonts w:hint="eastAsia" w:asciiTheme="minorEastAsia" w:hAnsiTheme="minorEastAsia"/>
          <w:sz w:val="28"/>
          <w:szCs w:val="28"/>
        </w:rPr>
        <w:t>第一名 中车投资租赁有限公司</w:t>
      </w:r>
    </w:p>
    <w:p>
      <w:pPr>
        <w:spacing w:line="360" w:lineRule="auto"/>
        <w:ind w:firstLine="560" w:firstLineChars="200"/>
        <w:jc w:val="left"/>
        <w:rPr>
          <w:rFonts w:asciiTheme="minorEastAsia" w:hAnsiTheme="minorEastAsia"/>
          <w:sz w:val="28"/>
          <w:szCs w:val="28"/>
        </w:rPr>
      </w:pPr>
      <w:r>
        <w:rPr>
          <w:rFonts w:hint="eastAsia" w:asciiTheme="minorEastAsia" w:hAnsiTheme="minorEastAsia"/>
          <w:sz w:val="28"/>
          <w:szCs w:val="28"/>
        </w:rPr>
        <w:t>第二名 中建投租赁有限责任公司</w:t>
      </w:r>
    </w:p>
    <w:p>
      <w:pPr>
        <w:spacing w:line="360" w:lineRule="auto"/>
        <w:ind w:firstLine="560" w:firstLineChars="200"/>
        <w:jc w:val="left"/>
        <w:rPr>
          <w:rFonts w:asciiTheme="minorEastAsia" w:hAnsiTheme="minorEastAsia"/>
          <w:sz w:val="28"/>
          <w:szCs w:val="28"/>
        </w:rPr>
      </w:pPr>
      <w:r>
        <w:rPr>
          <w:rFonts w:hint="eastAsia" w:asciiTheme="minorEastAsia" w:hAnsiTheme="minorEastAsia"/>
          <w:sz w:val="28"/>
          <w:szCs w:val="28"/>
        </w:rPr>
        <w:t>第三名 丰汇租赁有限公司</w:t>
      </w:r>
    </w:p>
    <w:p>
      <w:pPr>
        <w:spacing w:line="360" w:lineRule="auto"/>
        <w:ind w:firstLine="560" w:firstLineChars="200"/>
        <w:jc w:val="left"/>
        <w:rPr>
          <w:rFonts w:asciiTheme="minorEastAsia" w:hAnsiTheme="minorEastAsia"/>
          <w:sz w:val="28"/>
          <w:szCs w:val="28"/>
        </w:rPr>
      </w:pPr>
      <w:r>
        <w:rPr>
          <w:rFonts w:hint="eastAsia" w:asciiTheme="minorEastAsia" w:hAnsiTheme="minorEastAsia"/>
          <w:sz w:val="28"/>
          <w:szCs w:val="28"/>
        </w:rPr>
        <w:t>第四名 基石国际融资租赁有限公司</w:t>
      </w:r>
    </w:p>
    <w:p>
      <w:pPr>
        <w:spacing w:line="360" w:lineRule="auto"/>
        <w:ind w:firstLine="560" w:firstLineChars="200"/>
        <w:jc w:val="left"/>
        <w:rPr>
          <w:rFonts w:asciiTheme="minorEastAsia" w:hAnsiTheme="minorEastAsia"/>
          <w:sz w:val="28"/>
          <w:szCs w:val="28"/>
        </w:rPr>
      </w:pPr>
      <w:r>
        <w:rPr>
          <w:rFonts w:hint="eastAsia" w:asciiTheme="minorEastAsia" w:hAnsiTheme="minorEastAsia"/>
          <w:sz w:val="28"/>
          <w:szCs w:val="28"/>
        </w:rPr>
        <w:t>第五名 中联重科融资租赁有限公司</w:t>
      </w:r>
    </w:p>
    <w:p>
      <w:pPr>
        <w:spacing w:line="360" w:lineRule="auto"/>
        <w:ind w:firstLine="560" w:firstLineChars="200"/>
        <w:jc w:val="left"/>
        <w:rPr>
          <w:rFonts w:asciiTheme="minorEastAsia" w:hAnsiTheme="minorEastAsia"/>
          <w:sz w:val="28"/>
          <w:szCs w:val="28"/>
        </w:rPr>
      </w:pPr>
      <w:r>
        <w:rPr>
          <w:rFonts w:hint="eastAsia" w:asciiTheme="minorEastAsia" w:hAnsiTheme="minorEastAsia"/>
          <w:sz w:val="28"/>
          <w:szCs w:val="28"/>
        </w:rPr>
        <w:t>第六名 中信富通融资租赁有限公司</w:t>
      </w:r>
    </w:p>
    <w:p>
      <w:pPr>
        <w:spacing w:line="360" w:lineRule="auto"/>
        <w:ind w:firstLine="560" w:firstLineChars="200"/>
        <w:jc w:val="left"/>
        <w:rPr>
          <w:rFonts w:asciiTheme="minorEastAsia" w:hAnsiTheme="minorEastAsia"/>
          <w:sz w:val="28"/>
          <w:szCs w:val="28"/>
        </w:rPr>
      </w:pPr>
      <w:r>
        <w:rPr>
          <w:rFonts w:hint="eastAsia" w:asciiTheme="minorEastAsia" w:hAnsiTheme="minorEastAsia"/>
          <w:sz w:val="28"/>
          <w:szCs w:val="28"/>
        </w:rPr>
        <w:t>第七名 华中融资租赁有限公司</w:t>
      </w:r>
    </w:p>
    <w:p>
      <w:pPr>
        <w:spacing w:line="360" w:lineRule="auto"/>
        <w:ind w:firstLine="560" w:firstLineChars="200"/>
        <w:jc w:val="left"/>
        <w:rPr>
          <w:rFonts w:asciiTheme="minorEastAsia" w:hAnsiTheme="minorEastAsia"/>
          <w:sz w:val="28"/>
          <w:szCs w:val="28"/>
        </w:rPr>
      </w:pPr>
      <w:r>
        <w:rPr>
          <w:rFonts w:hint="eastAsia" w:asciiTheme="minorEastAsia" w:hAnsiTheme="minorEastAsia"/>
          <w:sz w:val="28"/>
          <w:szCs w:val="28"/>
        </w:rPr>
        <w:t>第八名 中国电建集团租赁有限公司</w:t>
      </w:r>
    </w:p>
    <w:p>
      <w:pPr>
        <w:spacing w:line="360" w:lineRule="auto"/>
        <w:ind w:firstLine="560" w:firstLineChars="200"/>
        <w:jc w:val="left"/>
        <w:rPr>
          <w:rFonts w:asciiTheme="minorEastAsia" w:hAnsiTheme="minorEastAsia"/>
          <w:sz w:val="28"/>
          <w:szCs w:val="28"/>
        </w:rPr>
      </w:pPr>
      <w:r>
        <w:rPr>
          <w:rFonts w:hint="eastAsia" w:asciiTheme="minorEastAsia" w:hAnsiTheme="minorEastAsia"/>
          <w:sz w:val="28"/>
          <w:szCs w:val="28"/>
        </w:rPr>
        <w:t>第九名 中关村科技租赁有限公司</w:t>
      </w:r>
    </w:p>
    <w:p>
      <w:pPr>
        <w:spacing w:line="360" w:lineRule="auto"/>
        <w:ind w:firstLine="560" w:firstLineChars="200"/>
        <w:jc w:val="left"/>
        <w:rPr>
          <w:rFonts w:asciiTheme="minorEastAsia" w:hAnsiTheme="minorEastAsia"/>
          <w:sz w:val="28"/>
          <w:szCs w:val="28"/>
        </w:rPr>
      </w:pPr>
      <w:r>
        <w:rPr>
          <w:rFonts w:hint="eastAsia" w:asciiTheme="minorEastAsia" w:hAnsiTheme="minorEastAsia"/>
          <w:sz w:val="28"/>
          <w:szCs w:val="28"/>
        </w:rPr>
        <w:t>第十名 北京中车信融融资租赁有限公司</w:t>
      </w:r>
    </w:p>
    <w:p>
      <w:pPr>
        <w:spacing w:line="360" w:lineRule="auto"/>
        <w:ind w:firstLine="562" w:firstLineChars="200"/>
        <w:jc w:val="left"/>
        <w:rPr>
          <w:rStyle w:val="14"/>
          <w:rFonts w:asciiTheme="minorEastAsia" w:hAnsiTheme="minorEastAsia"/>
          <w:color w:val="3E3E3E"/>
          <w:sz w:val="28"/>
          <w:szCs w:val="28"/>
        </w:rPr>
      </w:pPr>
    </w:p>
    <w:p>
      <w:pPr>
        <w:spacing w:line="360" w:lineRule="auto"/>
        <w:ind w:firstLine="562" w:firstLineChars="200"/>
        <w:jc w:val="center"/>
        <w:rPr>
          <w:rFonts w:asciiTheme="minorEastAsia" w:hAnsiTheme="minorEastAsia"/>
          <w:sz w:val="28"/>
          <w:szCs w:val="28"/>
        </w:rPr>
      </w:pPr>
      <w:r>
        <w:rPr>
          <w:rStyle w:val="14"/>
          <w:rFonts w:hint="eastAsia" w:asciiTheme="minorEastAsia" w:hAnsiTheme="minorEastAsia"/>
          <w:color w:val="3E3E3E"/>
          <w:sz w:val="28"/>
          <w:szCs w:val="28"/>
        </w:rPr>
        <w:t>“</w:t>
      </w:r>
      <w:r>
        <w:rPr>
          <w:rStyle w:val="14"/>
          <w:rFonts w:asciiTheme="minorEastAsia" w:hAnsiTheme="minorEastAsia"/>
          <w:color w:val="3E3E3E"/>
          <w:sz w:val="28"/>
          <w:szCs w:val="28"/>
        </w:rPr>
        <w:t>2015</w:t>
      </w:r>
      <w:r>
        <w:rPr>
          <w:rStyle w:val="14"/>
          <w:rFonts w:hint="eastAsia" w:asciiTheme="minorEastAsia" w:hAnsiTheme="minorEastAsia"/>
          <w:color w:val="3E3E3E"/>
          <w:sz w:val="28"/>
          <w:szCs w:val="28"/>
        </w:rPr>
        <w:t>年融资租赁优秀企业”名单</w:t>
      </w:r>
    </w:p>
    <w:p>
      <w:pPr>
        <w:spacing w:line="360" w:lineRule="auto"/>
        <w:ind w:firstLine="560" w:firstLineChars="200"/>
        <w:jc w:val="left"/>
        <w:rPr>
          <w:rFonts w:asciiTheme="minorEastAsia" w:hAnsiTheme="minorEastAsia"/>
          <w:sz w:val="28"/>
          <w:szCs w:val="28"/>
        </w:rPr>
      </w:pPr>
      <w:r>
        <w:rPr>
          <w:rFonts w:hint="eastAsia" w:asciiTheme="minorEastAsia" w:hAnsiTheme="minorEastAsia"/>
          <w:sz w:val="28"/>
          <w:szCs w:val="28"/>
        </w:rPr>
        <w:t>北京恒嘉国际融资租赁有限公司</w:t>
      </w:r>
    </w:p>
    <w:p>
      <w:pPr>
        <w:spacing w:line="360" w:lineRule="auto"/>
        <w:ind w:firstLine="560" w:firstLineChars="200"/>
        <w:jc w:val="left"/>
        <w:rPr>
          <w:rFonts w:asciiTheme="minorEastAsia" w:hAnsiTheme="minorEastAsia"/>
          <w:sz w:val="28"/>
          <w:szCs w:val="28"/>
        </w:rPr>
      </w:pPr>
      <w:r>
        <w:rPr>
          <w:rFonts w:hint="eastAsia" w:asciiTheme="minorEastAsia" w:hAnsiTheme="minorEastAsia"/>
          <w:sz w:val="28"/>
          <w:szCs w:val="28"/>
        </w:rPr>
        <w:t>北京京能源深融资租赁有限公司</w:t>
      </w:r>
    </w:p>
    <w:p>
      <w:pPr>
        <w:spacing w:line="360" w:lineRule="auto"/>
        <w:ind w:firstLine="560" w:firstLineChars="200"/>
        <w:jc w:val="left"/>
        <w:rPr>
          <w:rFonts w:asciiTheme="minorEastAsia" w:hAnsiTheme="minorEastAsia"/>
          <w:sz w:val="28"/>
          <w:szCs w:val="28"/>
        </w:rPr>
      </w:pPr>
      <w:r>
        <w:rPr>
          <w:rFonts w:hint="eastAsia" w:asciiTheme="minorEastAsia" w:hAnsiTheme="minorEastAsia"/>
          <w:sz w:val="28"/>
          <w:szCs w:val="28"/>
        </w:rPr>
        <w:t>道生国际融资租赁股份有限公司</w:t>
      </w:r>
    </w:p>
    <w:p>
      <w:pPr>
        <w:spacing w:line="360" w:lineRule="auto"/>
        <w:ind w:firstLine="560" w:firstLineChars="200"/>
        <w:jc w:val="left"/>
        <w:rPr>
          <w:rFonts w:asciiTheme="minorEastAsia" w:hAnsiTheme="minorEastAsia"/>
          <w:sz w:val="28"/>
          <w:szCs w:val="28"/>
        </w:rPr>
      </w:pPr>
      <w:r>
        <w:rPr>
          <w:rFonts w:hint="eastAsia" w:asciiTheme="minorEastAsia" w:hAnsiTheme="minorEastAsia"/>
          <w:sz w:val="28"/>
          <w:szCs w:val="28"/>
        </w:rPr>
        <w:t>首汽租赁有限责任公司</w:t>
      </w:r>
    </w:p>
    <w:p>
      <w:pPr>
        <w:spacing w:line="360" w:lineRule="auto"/>
        <w:ind w:firstLine="560" w:firstLineChars="200"/>
        <w:jc w:val="left"/>
        <w:rPr>
          <w:rFonts w:asciiTheme="minorEastAsia" w:hAnsiTheme="minorEastAsia"/>
          <w:sz w:val="28"/>
          <w:szCs w:val="28"/>
        </w:rPr>
      </w:pPr>
      <w:r>
        <w:rPr>
          <w:rFonts w:hint="eastAsia" w:asciiTheme="minorEastAsia" w:hAnsiTheme="minorEastAsia"/>
          <w:sz w:val="28"/>
          <w:szCs w:val="28"/>
        </w:rPr>
        <w:t>金鼎租赁有限公司</w:t>
      </w:r>
    </w:p>
    <w:p>
      <w:pPr>
        <w:spacing w:line="360" w:lineRule="auto"/>
        <w:ind w:firstLine="560" w:firstLineChars="200"/>
        <w:jc w:val="left"/>
        <w:rPr>
          <w:rFonts w:asciiTheme="minorEastAsia" w:hAnsiTheme="minorEastAsia"/>
          <w:sz w:val="28"/>
          <w:szCs w:val="28"/>
        </w:rPr>
      </w:pPr>
      <w:r>
        <w:rPr>
          <w:rFonts w:hint="eastAsia" w:asciiTheme="minorEastAsia" w:hAnsiTheme="minorEastAsia"/>
          <w:sz w:val="28"/>
          <w:szCs w:val="28"/>
        </w:rPr>
        <w:t>云投旺世融资租赁有限公司</w:t>
      </w:r>
    </w:p>
    <w:p>
      <w:pPr>
        <w:spacing w:line="360" w:lineRule="auto"/>
        <w:ind w:firstLine="560" w:firstLineChars="200"/>
        <w:jc w:val="left"/>
        <w:rPr>
          <w:rFonts w:asciiTheme="minorEastAsia" w:hAnsiTheme="minorEastAsia"/>
          <w:sz w:val="28"/>
          <w:szCs w:val="28"/>
        </w:rPr>
      </w:pPr>
      <w:r>
        <w:rPr>
          <w:rFonts w:hint="eastAsia" w:asciiTheme="minorEastAsia" w:hAnsiTheme="minorEastAsia"/>
          <w:sz w:val="28"/>
          <w:szCs w:val="28"/>
        </w:rPr>
        <w:t>华远租赁有限公司</w:t>
      </w:r>
    </w:p>
    <w:p>
      <w:pPr>
        <w:spacing w:line="360" w:lineRule="auto"/>
        <w:ind w:firstLine="560" w:firstLineChars="200"/>
        <w:jc w:val="left"/>
        <w:rPr>
          <w:rFonts w:asciiTheme="minorEastAsia" w:hAnsiTheme="minorEastAsia"/>
          <w:sz w:val="28"/>
          <w:szCs w:val="28"/>
        </w:rPr>
      </w:pPr>
      <w:r>
        <w:rPr>
          <w:rFonts w:hint="eastAsia" w:asciiTheme="minorEastAsia" w:hAnsiTheme="minorEastAsia"/>
          <w:sz w:val="28"/>
          <w:szCs w:val="28"/>
        </w:rPr>
        <w:t>北京万佳融资租赁有限公司</w:t>
      </w:r>
    </w:p>
    <w:p>
      <w:pPr>
        <w:spacing w:line="360" w:lineRule="auto"/>
        <w:ind w:firstLine="560" w:firstLineChars="200"/>
        <w:jc w:val="left"/>
        <w:rPr>
          <w:rFonts w:asciiTheme="minorEastAsia" w:hAnsiTheme="minorEastAsia"/>
          <w:sz w:val="28"/>
          <w:szCs w:val="28"/>
        </w:rPr>
      </w:pPr>
      <w:r>
        <w:rPr>
          <w:rFonts w:hint="eastAsia" w:asciiTheme="minorEastAsia" w:hAnsiTheme="minorEastAsia"/>
          <w:sz w:val="28"/>
          <w:szCs w:val="28"/>
        </w:rPr>
        <w:t>晋商国际融资租赁有限公司</w:t>
      </w:r>
    </w:p>
    <w:p>
      <w:pPr>
        <w:spacing w:line="360" w:lineRule="auto"/>
        <w:ind w:firstLine="560" w:firstLineChars="200"/>
        <w:jc w:val="left"/>
        <w:rPr>
          <w:rFonts w:asciiTheme="minorEastAsia" w:hAnsiTheme="minorEastAsia"/>
          <w:sz w:val="28"/>
          <w:szCs w:val="28"/>
        </w:rPr>
      </w:pPr>
      <w:r>
        <w:rPr>
          <w:rFonts w:hint="eastAsia" w:asciiTheme="minorEastAsia" w:hAnsiTheme="minorEastAsia"/>
          <w:sz w:val="28"/>
          <w:szCs w:val="28"/>
        </w:rPr>
        <w:t>华一融资租赁有限公司</w:t>
      </w:r>
    </w:p>
    <w:p>
      <w:pPr>
        <w:spacing w:line="360" w:lineRule="auto"/>
        <w:ind w:firstLine="560" w:firstLineChars="200"/>
        <w:jc w:val="left"/>
        <w:rPr>
          <w:rFonts w:asciiTheme="minorEastAsia" w:hAnsiTheme="minorEastAsia"/>
          <w:sz w:val="28"/>
          <w:szCs w:val="28"/>
        </w:rPr>
      </w:pPr>
      <w:r>
        <w:rPr>
          <w:rFonts w:hint="eastAsia" w:asciiTheme="minorEastAsia" w:hAnsiTheme="minorEastAsia"/>
          <w:sz w:val="28"/>
          <w:szCs w:val="28"/>
        </w:rPr>
        <w:t>北京农投融资租赁有限公司</w:t>
      </w:r>
    </w:p>
    <w:p>
      <w:pPr>
        <w:spacing w:line="360" w:lineRule="auto"/>
        <w:ind w:firstLine="560" w:firstLineChars="200"/>
        <w:jc w:val="left"/>
        <w:rPr>
          <w:rFonts w:asciiTheme="minorEastAsia" w:hAnsiTheme="minorEastAsia"/>
          <w:sz w:val="28"/>
          <w:szCs w:val="28"/>
        </w:rPr>
      </w:pPr>
      <w:r>
        <w:rPr>
          <w:rFonts w:hint="eastAsia" w:asciiTheme="minorEastAsia" w:hAnsiTheme="minorEastAsia"/>
          <w:sz w:val="28"/>
          <w:szCs w:val="28"/>
        </w:rPr>
        <w:t>联通租赁集团有限公司</w:t>
      </w:r>
    </w:p>
    <w:p>
      <w:pPr>
        <w:spacing w:line="360" w:lineRule="auto"/>
        <w:ind w:firstLine="560" w:firstLineChars="200"/>
        <w:jc w:val="left"/>
        <w:rPr>
          <w:rFonts w:asciiTheme="minorEastAsia" w:hAnsiTheme="minorEastAsia"/>
          <w:sz w:val="28"/>
          <w:szCs w:val="28"/>
        </w:rPr>
      </w:pPr>
      <w:r>
        <w:rPr>
          <w:rFonts w:hint="eastAsia" w:asciiTheme="minorEastAsia" w:hAnsiTheme="minorEastAsia"/>
          <w:sz w:val="28"/>
          <w:szCs w:val="28"/>
        </w:rPr>
        <w:t>荣达租赁有限公司</w:t>
      </w:r>
    </w:p>
    <w:p>
      <w:pPr>
        <w:spacing w:line="360" w:lineRule="auto"/>
        <w:ind w:firstLine="560" w:firstLineChars="200"/>
        <w:jc w:val="left"/>
        <w:rPr>
          <w:rFonts w:asciiTheme="minorEastAsia" w:hAnsiTheme="minorEastAsia"/>
          <w:sz w:val="28"/>
          <w:szCs w:val="28"/>
        </w:rPr>
      </w:pPr>
      <w:r>
        <w:rPr>
          <w:rFonts w:hint="eastAsia" w:asciiTheme="minorEastAsia" w:hAnsiTheme="minorEastAsia"/>
          <w:sz w:val="28"/>
          <w:szCs w:val="28"/>
        </w:rPr>
        <w:t>北京中煤融资租赁有限责任公司</w:t>
      </w:r>
    </w:p>
    <w:p>
      <w:pPr>
        <w:spacing w:line="360" w:lineRule="auto"/>
        <w:ind w:firstLine="560" w:firstLineChars="200"/>
        <w:jc w:val="left"/>
        <w:rPr>
          <w:rFonts w:asciiTheme="minorEastAsia" w:hAnsiTheme="minorEastAsia"/>
          <w:sz w:val="28"/>
          <w:szCs w:val="28"/>
        </w:rPr>
      </w:pPr>
      <w:r>
        <w:rPr>
          <w:rFonts w:hint="eastAsia" w:asciiTheme="minorEastAsia" w:hAnsiTheme="minorEastAsia"/>
          <w:sz w:val="28"/>
          <w:szCs w:val="28"/>
        </w:rPr>
        <w:t>北京鼎泰鑫融资租赁有限公司</w:t>
      </w:r>
    </w:p>
    <w:p>
      <w:pPr>
        <w:spacing w:line="360" w:lineRule="auto"/>
        <w:ind w:firstLine="560" w:firstLineChars="200"/>
        <w:jc w:val="left"/>
        <w:rPr>
          <w:rFonts w:asciiTheme="minorEastAsia" w:hAnsiTheme="minorEastAsia"/>
          <w:sz w:val="28"/>
          <w:szCs w:val="28"/>
        </w:rPr>
      </w:pPr>
      <w:r>
        <w:rPr>
          <w:rFonts w:hint="eastAsia" w:asciiTheme="minorEastAsia" w:hAnsiTheme="minorEastAsia"/>
          <w:sz w:val="28"/>
          <w:szCs w:val="28"/>
        </w:rPr>
        <w:t>卓越国际租赁有限公司</w:t>
      </w:r>
    </w:p>
    <w:p>
      <w:pPr>
        <w:spacing w:line="360" w:lineRule="auto"/>
        <w:ind w:firstLine="560" w:firstLineChars="200"/>
        <w:jc w:val="left"/>
        <w:rPr>
          <w:rFonts w:asciiTheme="minorEastAsia" w:hAnsiTheme="minorEastAsia"/>
          <w:sz w:val="28"/>
          <w:szCs w:val="28"/>
        </w:rPr>
      </w:pPr>
    </w:p>
    <w:p>
      <w:pPr>
        <w:spacing w:line="360" w:lineRule="auto"/>
        <w:ind w:firstLine="562" w:firstLineChars="200"/>
        <w:jc w:val="center"/>
        <w:rPr>
          <w:rFonts w:asciiTheme="minorEastAsia" w:hAnsiTheme="minorEastAsia"/>
          <w:sz w:val="28"/>
          <w:szCs w:val="28"/>
        </w:rPr>
      </w:pPr>
      <w:r>
        <w:rPr>
          <w:rStyle w:val="14"/>
          <w:rFonts w:hint="eastAsia" w:asciiTheme="minorEastAsia" w:hAnsiTheme="minorEastAsia"/>
          <w:color w:val="3E3E3E"/>
          <w:sz w:val="28"/>
          <w:szCs w:val="28"/>
        </w:rPr>
        <w:t>“</w:t>
      </w:r>
      <w:r>
        <w:rPr>
          <w:rStyle w:val="14"/>
          <w:rFonts w:asciiTheme="minorEastAsia" w:hAnsiTheme="minorEastAsia"/>
          <w:color w:val="3E3E3E"/>
          <w:sz w:val="28"/>
          <w:szCs w:val="28"/>
        </w:rPr>
        <w:t>2015</w:t>
      </w:r>
      <w:r>
        <w:rPr>
          <w:rStyle w:val="14"/>
          <w:rFonts w:hint="eastAsia" w:asciiTheme="minorEastAsia" w:hAnsiTheme="minorEastAsia"/>
          <w:color w:val="3E3E3E"/>
          <w:sz w:val="28"/>
          <w:szCs w:val="28"/>
        </w:rPr>
        <w:t>年优秀租赁企业”名单</w:t>
      </w:r>
    </w:p>
    <w:p>
      <w:pPr>
        <w:spacing w:line="360" w:lineRule="auto"/>
        <w:ind w:firstLine="560" w:firstLineChars="200"/>
        <w:jc w:val="left"/>
        <w:rPr>
          <w:rFonts w:asciiTheme="minorEastAsia" w:hAnsiTheme="minorEastAsia"/>
          <w:sz w:val="28"/>
          <w:szCs w:val="28"/>
        </w:rPr>
      </w:pPr>
      <w:r>
        <w:rPr>
          <w:rFonts w:hint="eastAsia" w:asciiTheme="minorEastAsia" w:hAnsiTheme="minorEastAsia"/>
          <w:sz w:val="28"/>
          <w:szCs w:val="28"/>
        </w:rPr>
        <w:t>北京神州汽车租赁有限公司</w:t>
      </w:r>
    </w:p>
    <w:p>
      <w:pPr>
        <w:spacing w:line="360" w:lineRule="auto"/>
        <w:ind w:firstLine="560" w:firstLineChars="200"/>
        <w:jc w:val="left"/>
        <w:rPr>
          <w:rFonts w:asciiTheme="minorEastAsia" w:hAnsiTheme="minorEastAsia"/>
          <w:sz w:val="28"/>
          <w:szCs w:val="28"/>
        </w:rPr>
      </w:pPr>
      <w:r>
        <w:rPr>
          <w:rFonts w:hint="eastAsia" w:asciiTheme="minorEastAsia" w:hAnsiTheme="minorEastAsia"/>
          <w:sz w:val="28"/>
          <w:szCs w:val="28"/>
        </w:rPr>
        <w:t>北京庞源机械工程有限公司</w:t>
      </w:r>
    </w:p>
    <w:p>
      <w:pPr>
        <w:spacing w:line="360" w:lineRule="auto"/>
        <w:ind w:firstLine="560" w:firstLineChars="200"/>
        <w:jc w:val="left"/>
        <w:rPr>
          <w:rFonts w:asciiTheme="minorEastAsia" w:hAnsiTheme="minorEastAsia"/>
          <w:sz w:val="28"/>
          <w:szCs w:val="28"/>
        </w:rPr>
      </w:pPr>
      <w:r>
        <w:rPr>
          <w:rFonts w:hint="eastAsia" w:asciiTheme="minorEastAsia" w:hAnsiTheme="minorEastAsia"/>
          <w:sz w:val="28"/>
          <w:szCs w:val="28"/>
        </w:rPr>
        <w:t>北京紫竹慧建设服务股份有限公司</w:t>
      </w:r>
    </w:p>
    <w:p>
      <w:pPr>
        <w:spacing w:line="360" w:lineRule="auto"/>
        <w:ind w:firstLine="560" w:firstLineChars="200"/>
        <w:jc w:val="left"/>
        <w:rPr>
          <w:rFonts w:asciiTheme="minorEastAsia" w:hAnsiTheme="minorEastAsia"/>
          <w:sz w:val="28"/>
          <w:szCs w:val="28"/>
        </w:rPr>
      </w:pPr>
      <w:r>
        <w:rPr>
          <w:rFonts w:hint="eastAsia" w:asciiTheme="minorEastAsia" w:hAnsiTheme="minorEastAsia"/>
          <w:sz w:val="28"/>
          <w:szCs w:val="28"/>
        </w:rPr>
        <w:t>上海络优设备租赁有限公司</w:t>
      </w:r>
    </w:p>
    <w:p>
      <w:pPr>
        <w:spacing w:line="360" w:lineRule="auto"/>
        <w:ind w:firstLine="560" w:firstLineChars="200"/>
        <w:jc w:val="left"/>
        <w:rPr>
          <w:rFonts w:asciiTheme="minorEastAsia" w:hAnsiTheme="minorEastAsia"/>
          <w:sz w:val="28"/>
          <w:szCs w:val="28"/>
        </w:rPr>
      </w:pPr>
    </w:p>
    <w:p>
      <w:pPr>
        <w:spacing w:line="360" w:lineRule="auto"/>
        <w:ind w:firstLine="560" w:firstLineChars="200"/>
        <w:jc w:val="center"/>
        <w:rPr>
          <w:rFonts w:asciiTheme="minorEastAsia" w:hAnsiTheme="minorEastAsia"/>
          <w:sz w:val="28"/>
          <w:szCs w:val="28"/>
        </w:rPr>
      </w:pPr>
      <w:r>
        <w:rPr>
          <w:rFonts w:hint="eastAsia" w:asciiTheme="minorEastAsia" w:hAnsiTheme="minorEastAsia"/>
          <w:sz w:val="28"/>
          <w:szCs w:val="28"/>
        </w:rPr>
        <w:t>“</w:t>
      </w:r>
      <w:r>
        <w:rPr>
          <w:rStyle w:val="14"/>
          <w:rFonts w:hint="eastAsia" w:asciiTheme="minorEastAsia" w:hAnsiTheme="minorEastAsia"/>
          <w:color w:val="3E3E3E"/>
          <w:sz w:val="28"/>
          <w:szCs w:val="28"/>
        </w:rPr>
        <w:t>2015年融资租赁信息系统最佳服务商”名单</w:t>
      </w:r>
    </w:p>
    <w:p>
      <w:pPr>
        <w:spacing w:line="360" w:lineRule="auto"/>
        <w:ind w:firstLine="560" w:firstLineChars="200"/>
        <w:jc w:val="left"/>
        <w:rPr>
          <w:rFonts w:asciiTheme="minorEastAsia" w:hAnsiTheme="minorEastAsia"/>
          <w:sz w:val="28"/>
          <w:szCs w:val="28"/>
        </w:rPr>
      </w:pPr>
      <w:r>
        <w:rPr>
          <w:rFonts w:hint="eastAsia" w:asciiTheme="minorEastAsia" w:hAnsiTheme="minorEastAsia"/>
          <w:sz w:val="28"/>
          <w:szCs w:val="28"/>
        </w:rPr>
        <w:t>北京平强软件有限公司</w:t>
      </w:r>
    </w:p>
    <w:p>
      <w:pPr>
        <w:spacing w:line="360" w:lineRule="auto"/>
        <w:ind w:firstLine="560" w:firstLineChars="200"/>
        <w:jc w:val="left"/>
        <w:rPr>
          <w:rFonts w:asciiTheme="minorEastAsia" w:hAnsiTheme="minorEastAsia"/>
          <w:sz w:val="28"/>
          <w:szCs w:val="28"/>
        </w:rPr>
      </w:pPr>
    </w:p>
    <w:p>
      <w:pPr>
        <w:spacing w:line="360" w:lineRule="auto"/>
        <w:ind w:firstLine="560" w:firstLineChars="200"/>
        <w:jc w:val="right"/>
        <w:rPr>
          <w:rFonts w:asciiTheme="minorEastAsia" w:hAnsiTheme="minorEastAsia"/>
          <w:sz w:val="28"/>
          <w:szCs w:val="28"/>
        </w:rPr>
      </w:pPr>
      <w:r>
        <w:rPr>
          <w:rFonts w:hint="eastAsia" w:asciiTheme="minorEastAsia" w:hAnsiTheme="minorEastAsia"/>
          <w:sz w:val="28"/>
          <w:szCs w:val="28"/>
        </w:rPr>
        <w:t>北京市租赁行业协会</w:t>
      </w:r>
    </w:p>
    <w:p>
      <w:pPr>
        <w:spacing w:line="360" w:lineRule="auto"/>
        <w:ind w:firstLine="560" w:firstLineChars="200"/>
        <w:jc w:val="right"/>
        <w:rPr>
          <w:rFonts w:asciiTheme="minorEastAsia" w:hAnsiTheme="minorEastAsia"/>
          <w:sz w:val="28"/>
          <w:szCs w:val="28"/>
        </w:rPr>
      </w:pPr>
      <w:r>
        <w:rPr>
          <w:rFonts w:asciiTheme="minorEastAsia" w:hAnsiTheme="minorEastAsia"/>
          <w:sz w:val="28"/>
          <w:szCs w:val="28"/>
        </w:rPr>
        <w:t>2015</w:t>
      </w:r>
      <w:r>
        <w:rPr>
          <w:rFonts w:hint="eastAsia" w:asciiTheme="minorEastAsia" w:hAnsiTheme="minorEastAsia"/>
          <w:sz w:val="28"/>
          <w:szCs w:val="28"/>
        </w:rPr>
        <w:t>年</w:t>
      </w:r>
      <w:r>
        <w:rPr>
          <w:rFonts w:asciiTheme="minorEastAsia" w:hAnsiTheme="minorEastAsia"/>
          <w:sz w:val="28"/>
          <w:szCs w:val="28"/>
        </w:rPr>
        <w:t>1</w:t>
      </w:r>
      <w:r>
        <w:rPr>
          <w:rFonts w:hint="eastAsia" w:asciiTheme="minorEastAsia" w:hAnsiTheme="minorEastAsia"/>
          <w:sz w:val="28"/>
          <w:szCs w:val="28"/>
        </w:rPr>
        <w:t>月</w:t>
      </w:r>
      <w:r>
        <w:rPr>
          <w:rFonts w:asciiTheme="minorEastAsia" w:hAnsiTheme="minorEastAsia"/>
          <w:sz w:val="28"/>
          <w:szCs w:val="28"/>
        </w:rPr>
        <w:t>21</w:t>
      </w:r>
      <w:r>
        <w:rPr>
          <w:rFonts w:hint="eastAsia" w:asciiTheme="minorEastAsia" w:hAnsiTheme="minorEastAsia"/>
          <w:sz w:val="28"/>
          <w:szCs w:val="28"/>
        </w:rPr>
        <w:t>日</w:t>
      </w:r>
    </w:p>
    <w:p>
      <w:pPr/>
    </w:p>
    <w:p>
      <w:pPr/>
    </w:p>
    <w:p>
      <w:pPr/>
    </w:p>
    <w:p>
      <w:pPr>
        <w:pStyle w:val="3"/>
        <w:jc w:val="center"/>
      </w:pPr>
      <w:bookmarkStart w:id="13" w:name="_Toc446324673"/>
      <w:bookmarkStart w:id="14" w:name="_Toc446330612"/>
      <w:bookmarkStart w:id="15" w:name="_Toc446322470"/>
      <w:bookmarkStart w:id="16" w:name="_Toc446330715"/>
      <w:bookmarkStart w:id="17" w:name="_Toc446326743"/>
      <w:r>
        <w:rPr>
          <w:rFonts w:hint="eastAsia"/>
        </w:rPr>
        <w:t>北京市商务委关于开展外资融资租赁企业风险排查的通知</w:t>
      </w:r>
      <w:bookmarkEnd w:id="13"/>
      <w:bookmarkEnd w:id="14"/>
      <w:bookmarkEnd w:id="15"/>
      <w:bookmarkEnd w:id="16"/>
      <w:bookmarkEnd w:id="17"/>
    </w:p>
    <w:p>
      <w:pPr>
        <w:pStyle w:val="3"/>
        <w:jc w:val="center"/>
      </w:pPr>
      <w:r>
        <w:drawing>
          <wp:inline distT="0" distB="0" distL="0" distR="0">
            <wp:extent cx="5274310" cy="7648575"/>
            <wp:effectExtent l="19050" t="0" r="2540" b="0"/>
            <wp:docPr id="16" name="图片 15" descr="风险排查通知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风险排查通知1.jpg"/>
                    <pic:cNvPicPr>
                      <a:picLocks noChangeAspect="1"/>
                    </pic:cNvPicPr>
                  </pic:nvPicPr>
                  <pic:blipFill>
                    <a:blip r:embed="rId8"/>
                    <a:stretch>
                      <a:fillRect/>
                    </a:stretch>
                  </pic:blipFill>
                  <pic:spPr>
                    <a:xfrm>
                      <a:off x="0" y="0"/>
                      <a:ext cx="5274310" cy="7648575"/>
                    </a:xfrm>
                    <a:prstGeom prst="rect">
                      <a:avLst/>
                    </a:prstGeom>
                  </pic:spPr>
                </pic:pic>
              </a:graphicData>
            </a:graphic>
          </wp:inline>
        </w:drawing>
      </w:r>
    </w:p>
    <w:p>
      <w:pPr/>
      <w:r>
        <w:drawing>
          <wp:inline distT="0" distB="0" distL="0" distR="0">
            <wp:extent cx="5274310" cy="8467725"/>
            <wp:effectExtent l="19050" t="0" r="2540" b="0"/>
            <wp:docPr id="17" name="图片 16" descr="风险排查通知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风险排查通知2..jpg"/>
                    <pic:cNvPicPr>
                      <a:picLocks noChangeAspect="1"/>
                    </pic:cNvPicPr>
                  </pic:nvPicPr>
                  <pic:blipFill>
                    <a:blip r:embed="rId9"/>
                    <a:stretch>
                      <a:fillRect/>
                    </a:stretch>
                  </pic:blipFill>
                  <pic:spPr>
                    <a:xfrm>
                      <a:off x="0" y="0"/>
                      <a:ext cx="5274310" cy="8467725"/>
                    </a:xfrm>
                    <a:prstGeom prst="rect">
                      <a:avLst/>
                    </a:prstGeom>
                  </pic:spPr>
                </pic:pic>
              </a:graphicData>
            </a:graphic>
          </wp:inline>
        </w:drawing>
      </w:r>
    </w:p>
    <w:p>
      <w:pPr/>
      <w:r>
        <w:drawing>
          <wp:inline distT="0" distB="0" distL="0" distR="0">
            <wp:extent cx="5274310" cy="8286750"/>
            <wp:effectExtent l="19050" t="0" r="2540" b="0"/>
            <wp:docPr id="18" name="图片 17" descr="风险排查工作方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descr="风险排查工作方案1..jpg"/>
                    <pic:cNvPicPr>
                      <a:picLocks noChangeAspect="1"/>
                    </pic:cNvPicPr>
                  </pic:nvPicPr>
                  <pic:blipFill>
                    <a:blip r:embed="rId10"/>
                    <a:stretch>
                      <a:fillRect/>
                    </a:stretch>
                  </pic:blipFill>
                  <pic:spPr>
                    <a:xfrm>
                      <a:off x="0" y="0"/>
                      <a:ext cx="5274310" cy="8286750"/>
                    </a:xfrm>
                    <a:prstGeom prst="rect">
                      <a:avLst/>
                    </a:prstGeom>
                  </pic:spPr>
                </pic:pic>
              </a:graphicData>
            </a:graphic>
          </wp:inline>
        </w:drawing>
      </w:r>
    </w:p>
    <w:p>
      <w:pPr/>
      <w:r>
        <w:drawing>
          <wp:inline distT="0" distB="0" distL="0" distR="0">
            <wp:extent cx="5274310" cy="8562975"/>
            <wp:effectExtent l="19050" t="0" r="2540" b="0"/>
            <wp:docPr id="19" name="图片 18" descr="风险排查工作方案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风险排查工作方案2..jpg"/>
                    <pic:cNvPicPr>
                      <a:picLocks noChangeAspect="1"/>
                    </pic:cNvPicPr>
                  </pic:nvPicPr>
                  <pic:blipFill>
                    <a:blip r:embed="rId11"/>
                    <a:stretch>
                      <a:fillRect/>
                    </a:stretch>
                  </pic:blipFill>
                  <pic:spPr>
                    <a:xfrm>
                      <a:off x="0" y="0"/>
                      <a:ext cx="5274310" cy="8562975"/>
                    </a:xfrm>
                    <a:prstGeom prst="rect">
                      <a:avLst/>
                    </a:prstGeom>
                  </pic:spPr>
                </pic:pic>
              </a:graphicData>
            </a:graphic>
          </wp:inline>
        </w:drawing>
      </w:r>
    </w:p>
    <w:p>
      <w:pPr/>
      <w:r>
        <w:drawing>
          <wp:inline distT="0" distB="0" distL="0" distR="0">
            <wp:extent cx="5274310" cy="8343900"/>
            <wp:effectExtent l="19050" t="0" r="2540" b="0"/>
            <wp:docPr id="24" name="图片 23" descr="风险排查工作方案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descr="风险排查工作方案3..jpg"/>
                    <pic:cNvPicPr>
                      <a:picLocks noChangeAspect="1"/>
                    </pic:cNvPicPr>
                  </pic:nvPicPr>
                  <pic:blipFill>
                    <a:blip r:embed="rId12"/>
                    <a:stretch>
                      <a:fillRect/>
                    </a:stretch>
                  </pic:blipFill>
                  <pic:spPr>
                    <a:xfrm>
                      <a:off x="0" y="0"/>
                      <a:ext cx="5274310" cy="8343900"/>
                    </a:xfrm>
                    <a:prstGeom prst="rect">
                      <a:avLst/>
                    </a:prstGeom>
                  </pic:spPr>
                </pic:pic>
              </a:graphicData>
            </a:graphic>
          </wp:inline>
        </w:drawing>
      </w:r>
    </w:p>
    <w:p>
      <w:pPr/>
      <w:r>
        <w:drawing>
          <wp:inline distT="0" distB="0" distL="0" distR="0">
            <wp:extent cx="5274310" cy="8410575"/>
            <wp:effectExtent l="19050" t="0" r="2540" b="0"/>
            <wp:docPr id="29" name="图片 28" descr="风险排查工作方案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风险排查工作方案4.jpg"/>
                    <pic:cNvPicPr>
                      <a:picLocks noChangeAspect="1"/>
                    </pic:cNvPicPr>
                  </pic:nvPicPr>
                  <pic:blipFill>
                    <a:blip r:embed="rId13"/>
                    <a:stretch>
                      <a:fillRect/>
                    </a:stretch>
                  </pic:blipFill>
                  <pic:spPr>
                    <a:xfrm>
                      <a:off x="0" y="0"/>
                      <a:ext cx="5274310" cy="8410575"/>
                    </a:xfrm>
                    <a:prstGeom prst="rect">
                      <a:avLst/>
                    </a:prstGeom>
                  </pic:spPr>
                </pic:pic>
              </a:graphicData>
            </a:graphic>
          </wp:inline>
        </w:drawing>
      </w:r>
    </w:p>
    <w:p>
      <w:pPr>
        <w:pStyle w:val="3"/>
        <w:jc w:val="center"/>
        <w:rPr>
          <w:szCs w:val="23"/>
        </w:rPr>
      </w:pPr>
      <w:bookmarkStart w:id="18" w:name="_Toc446322471"/>
      <w:bookmarkStart w:id="19" w:name="_Toc446324674"/>
      <w:bookmarkStart w:id="20" w:name="_Toc446326744"/>
      <w:bookmarkStart w:id="21" w:name="_Toc446330613"/>
      <w:bookmarkStart w:id="22" w:name="_Toc446330716"/>
      <w:r>
        <w:rPr>
          <w:rStyle w:val="14"/>
          <w:b/>
          <w:bCs/>
        </w:rPr>
        <w:t>北京开展外资融资租赁企业风险排查工作</w:t>
      </w:r>
      <w:bookmarkEnd w:id="18"/>
      <w:bookmarkEnd w:id="19"/>
      <w:bookmarkEnd w:id="20"/>
      <w:bookmarkEnd w:id="21"/>
      <w:bookmarkEnd w:id="22"/>
    </w:p>
    <w:p>
      <w:pPr>
        <w:spacing w:line="600" w:lineRule="exact"/>
        <w:ind w:firstLine="560" w:firstLineChars="200"/>
        <w:rPr>
          <w:rFonts w:asciiTheme="minorEastAsia" w:hAnsiTheme="minorEastAsia"/>
          <w:sz w:val="28"/>
          <w:szCs w:val="28"/>
        </w:rPr>
      </w:pPr>
      <w:r>
        <w:rPr>
          <w:rFonts w:hint="eastAsia" w:asciiTheme="minorEastAsia" w:hAnsiTheme="minorEastAsia"/>
          <w:sz w:val="28"/>
          <w:szCs w:val="28"/>
        </w:rPr>
        <w:t>北京市商务委员会根据《商务部办公厅关于开展融资租赁企业风险排查工作的通知》（商办流通函[2016]43号）有关要求，于2016年3月1日在北京市商务委方庄办公区会议室召开了“北京市外资融资租赁企业风险排查工作部署会”，参加会议的外资融资租赁企业人员超过200人。</w:t>
      </w:r>
    </w:p>
    <w:p>
      <w:pPr>
        <w:spacing w:line="600" w:lineRule="exact"/>
        <w:ind w:firstLine="560" w:firstLineChars="200"/>
        <w:rPr>
          <w:rFonts w:asciiTheme="minorEastAsia" w:hAnsiTheme="minorEastAsia"/>
          <w:sz w:val="28"/>
          <w:szCs w:val="28"/>
        </w:rPr>
      </w:pPr>
      <w:r>
        <w:rPr>
          <w:rFonts w:hint="eastAsia" w:asciiTheme="minorEastAsia" w:hAnsiTheme="minorEastAsia"/>
          <w:sz w:val="28"/>
          <w:szCs w:val="28"/>
        </w:rPr>
        <w:t>为了做好此次风险排查工作，北京市商务委员会专门成立了由北京市商务委外资管理处、外资发展处、北京市租赁行业协会等单位组成的排查工作机构。北京市商务委员会外资管理处处长侯明迪、副处长杨洋、外资发展处副处长焦刚、北京市租赁行业协会会长张巨光、常务副秘书长张雪飞出席会议。</w:t>
      </w:r>
    </w:p>
    <w:p>
      <w:pPr>
        <w:spacing w:line="600" w:lineRule="exact"/>
        <w:ind w:firstLine="560" w:firstLineChars="200"/>
        <w:rPr>
          <w:rFonts w:asciiTheme="minorEastAsia" w:hAnsiTheme="minorEastAsia"/>
          <w:sz w:val="28"/>
          <w:szCs w:val="28"/>
        </w:rPr>
      </w:pPr>
      <w:r>
        <w:rPr>
          <w:rFonts w:hint="eastAsia" w:asciiTheme="minorEastAsia" w:hAnsiTheme="minorEastAsia"/>
          <w:sz w:val="28"/>
          <w:szCs w:val="28"/>
        </w:rPr>
        <w:t>首先，杨洋副处长就外资融资租赁企业风险排查的背景、依据、目的、机构组成、分工、时间安排、排查方式进行了部署，重点就风险排查的主要内容进行了说明，并提出了工作要求；其次，张雪飞副秘书长就企业风险排查自查报告的有关事项进行了说明，对未按规定填报商务部“全国融资租赁企业管理信息系统”的22家企业名单进行了公布；随后，焦刚副处长就外资企业的联合年报问题进行了介绍；接着，张巨光会长就加强行业自律向到会的企业提出了要求；最后，侯明迪处长对到会的企业提了5点要求，一是要守法经营，二是要承担社会责任和行业责任，三是要积极配合政府监管工作，共同营造良好的经营环境，四是要及时、准确报送信息。市商务委将加强政府平台间的信息共享与监管协作，建立企业报送信息异常名录和黑名单制度，对违法违规企业进行处罚，五是鼓励企业加入北京市租赁行业协会，并希望协会做好会员服务，发挥好桥梁和纽带作用。</w:t>
      </w:r>
    </w:p>
    <w:p>
      <w:pPr>
        <w:spacing w:line="600" w:lineRule="exact"/>
        <w:ind w:firstLine="560" w:firstLineChars="200"/>
        <w:rPr>
          <w:rFonts w:asciiTheme="minorEastAsia" w:hAnsiTheme="minorEastAsia"/>
          <w:sz w:val="28"/>
          <w:szCs w:val="28"/>
        </w:rPr>
      </w:pPr>
      <w:r>
        <w:rPr>
          <w:rFonts w:hint="eastAsia" w:asciiTheme="minorEastAsia" w:hAnsiTheme="minorEastAsia"/>
          <w:sz w:val="28"/>
          <w:szCs w:val="28"/>
        </w:rPr>
        <w:t>此次融资租赁企业风险排查工作，主要围绕以下七个方面的内容展开：</w:t>
      </w:r>
    </w:p>
    <w:p>
      <w:pPr>
        <w:spacing w:line="600" w:lineRule="exact"/>
        <w:ind w:firstLine="560" w:firstLineChars="200"/>
        <w:rPr>
          <w:rFonts w:asciiTheme="minorEastAsia" w:hAnsiTheme="minorEastAsia"/>
          <w:sz w:val="28"/>
          <w:szCs w:val="28"/>
        </w:rPr>
      </w:pPr>
      <w:r>
        <w:rPr>
          <w:rFonts w:hint="eastAsia" w:asciiTheme="minorEastAsia" w:hAnsiTheme="minorEastAsia"/>
          <w:sz w:val="28"/>
          <w:szCs w:val="28"/>
        </w:rPr>
        <w:t>1.是否存在直接从事或参与互联网金融、投资理财、小额贷款、融资担保等业务吸收或变相吸收公众存款等行为。</w:t>
      </w:r>
    </w:p>
    <w:p>
      <w:pPr>
        <w:spacing w:line="600" w:lineRule="exact"/>
        <w:ind w:firstLine="560" w:firstLineChars="200"/>
        <w:rPr>
          <w:rFonts w:asciiTheme="minorEastAsia" w:hAnsiTheme="minorEastAsia"/>
          <w:sz w:val="28"/>
          <w:szCs w:val="28"/>
        </w:rPr>
      </w:pPr>
      <w:r>
        <w:rPr>
          <w:rFonts w:hint="eastAsia" w:asciiTheme="minorEastAsia" w:hAnsiTheme="minorEastAsia"/>
          <w:sz w:val="28"/>
          <w:szCs w:val="28"/>
        </w:rPr>
        <w:t>2.是否存在虚构租赁物、以不符合法律规定的标的为租赁物、未实际取得租赁物或租赁物合同价值与实际明显不符，以融资租赁名义实际从事资金融通业务甚至变相提供贷款等行为。</w:t>
      </w:r>
    </w:p>
    <w:p>
      <w:pPr>
        <w:spacing w:line="600" w:lineRule="exact"/>
        <w:ind w:firstLine="560" w:firstLineChars="200"/>
        <w:rPr>
          <w:rFonts w:asciiTheme="minorEastAsia" w:hAnsiTheme="minorEastAsia"/>
          <w:sz w:val="28"/>
          <w:szCs w:val="28"/>
        </w:rPr>
      </w:pPr>
      <w:r>
        <w:rPr>
          <w:rFonts w:hint="eastAsia" w:asciiTheme="minorEastAsia" w:hAnsiTheme="minorEastAsia"/>
          <w:sz w:val="28"/>
          <w:szCs w:val="28"/>
        </w:rPr>
        <w:t>3.是否存在与关联公司之间进行租赁物低值高买、高值低租等明显不符合市场规律的交易行为。</w:t>
      </w:r>
    </w:p>
    <w:p>
      <w:pPr>
        <w:spacing w:line="600" w:lineRule="exact"/>
        <w:ind w:firstLine="560" w:firstLineChars="200"/>
        <w:rPr>
          <w:rFonts w:asciiTheme="minorEastAsia" w:hAnsiTheme="minorEastAsia"/>
          <w:sz w:val="28"/>
          <w:szCs w:val="28"/>
        </w:rPr>
      </w:pPr>
      <w:r>
        <w:rPr>
          <w:rFonts w:hint="eastAsia" w:asciiTheme="minorEastAsia" w:hAnsiTheme="minorEastAsia"/>
          <w:sz w:val="28"/>
          <w:szCs w:val="28"/>
        </w:rPr>
        <w:t>4.是否存在虚假宣传、故意虚构融资租赁项目通过公开渠道进行融资等行为。</w:t>
      </w:r>
    </w:p>
    <w:p>
      <w:pPr>
        <w:spacing w:line="600" w:lineRule="exact"/>
        <w:ind w:firstLine="560" w:firstLineChars="200"/>
        <w:rPr>
          <w:rFonts w:asciiTheme="minorEastAsia" w:hAnsiTheme="minorEastAsia"/>
          <w:sz w:val="28"/>
          <w:szCs w:val="28"/>
        </w:rPr>
      </w:pPr>
      <w:r>
        <w:rPr>
          <w:rFonts w:hint="eastAsia" w:asciiTheme="minorEastAsia" w:hAnsiTheme="minorEastAsia"/>
          <w:sz w:val="28"/>
          <w:szCs w:val="28"/>
        </w:rPr>
        <w:t>5.风险资产比例是否超过规定的限额。</w:t>
      </w:r>
    </w:p>
    <w:p>
      <w:pPr>
        <w:spacing w:line="600" w:lineRule="exact"/>
        <w:ind w:firstLine="560" w:firstLineChars="200"/>
        <w:rPr>
          <w:rFonts w:asciiTheme="minorEastAsia" w:hAnsiTheme="minorEastAsia"/>
          <w:sz w:val="28"/>
          <w:szCs w:val="28"/>
        </w:rPr>
      </w:pPr>
      <w:r>
        <w:rPr>
          <w:rFonts w:hint="eastAsia" w:asciiTheme="minorEastAsia" w:hAnsiTheme="minorEastAsia"/>
          <w:sz w:val="28"/>
          <w:szCs w:val="28"/>
        </w:rPr>
        <w:t>6.是否按要求及时报送季度和年度经营情况信息报表，在全国融资租赁企业管理信息系统上登记的企业基本信息与实际情况是否一致。</w:t>
      </w:r>
    </w:p>
    <w:p>
      <w:pPr>
        <w:spacing w:line="600" w:lineRule="exact"/>
        <w:ind w:firstLine="560" w:firstLineChars="200"/>
        <w:rPr>
          <w:rFonts w:asciiTheme="minorEastAsia" w:hAnsiTheme="minorEastAsia"/>
          <w:sz w:val="28"/>
          <w:szCs w:val="28"/>
        </w:rPr>
      </w:pPr>
      <w:r>
        <w:rPr>
          <w:rFonts w:hint="eastAsia" w:asciiTheme="minorEastAsia" w:hAnsiTheme="minorEastAsia"/>
          <w:sz w:val="28"/>
          <w:szCs w:val="28"/>
        </w:rPr>
        <w:t>7.是否按要求及时参加外商投资企业年度投资经营信息联合报告工作（联合年报），是否准确报送投资经营信息。</w:t>
      </w:r>
    </w:p>
    <w:p>
      <w:pPr>
        <w:spacing w:line="600" w:lineRule="exact"/>
        <w:ind w:firstLine="560" w:firstLineChars="200"/>
        <w:rPr>
          <w:rFonts w:asciiTheme="minorEastAsia" w:hAnsiTheme="minorEastAsia"/>
          <w:sz w:val="28"/>
          <w:szCs w:val="28"/>
        </w:rPr>
      </w:pPr>
      <w:r>
        <w:rPr>
          <w:rFonts w:hint="eastAsia" w:asciiTheme="minorEastAsia" w:hAnsiTheme="minorEastAsia"/>
          <w:sz w:val="28"/>
          <w:szCs w:val="28"/>
        </w:rPr>
        <w:t>此次北京市外资融资租赁企业风险排查工作将于2016年3月底结束。此前，北京市租赁行业协会配合北京市商务委已于2015年12月10完成了对27家内资融资租赁企业的风险排查工作。 </w:t>
      </w:r>
    </w:p>
    <w:p>
      <w:pPr>
        <w:pStyle w:val="12"/>
        <w:shd w:val="clear" w:color="auto" w:fill="FFFFFF"/>
        <w:spacing w:before="0" w:beforeAutospacing="0" w:after="0" w:afterAutospacing="0" w:line="278" w:lineRule="atLeast"/>
        <w:jc w:val="center"/>
        <w:rPr>
          <w:color w:val="3E3E3E"/>
          <w:sz w:val="18"/>
          <w:szCs w:val="18"/>
        </w:rPr>
      </w:pPr>
    </w:p>
    <w:p>
      <w:pPr>
        <w:pStyle w:val="3"/>
        <w:jc w:val="center"/>
        <w:rPr>
          <w:rFonts w:asciiTheme="minorEastAsia" w:hAnsiTheme="minorEastAsia" w:eastAsiaTheme="minorEastAsia"/>
          <w:color w:val="3E3E3E"/>
          <w:sz w:val="18"/>
          <w:szCs w:val="18"/>
        </w:rPr>
      </w:pPr>
      <w:bookmarkStart w:id="23" w:name="_Toc446330614"/>
      <w:bookmarkStart w:id="24" w:name="_Toc446326745"/>
      <w:bookmarkStart w:id="25" w:name="_Toc446324675"/>
      <w:bookmarkStart w:id="26" w:name="_Toc446322472"/>
      <w:bookmarkStart w:id="27" w:name="_Toc446330717"/>
      <w:r>
        <w:rPr>
          <w:rFonts w:asciiTheme="minorEastAsia" w:hAnsiTheme="minorEastAsia" w:eastAsiaTheme="minorEastAsia"/>
        </w:rPr>
        <w:t>2015</w:t>
      </w:r>
      <w:r>
        <w:rPr>
          <w:rFonts w:hint="eastAsia" w:asciiTheme="minorEastAsia" w:hAnsiTheme="minorEastAsia" w:eastAsiaTheme="minorEastAsia"/>
        </w:rPr>
        <w:t>年北京市融资租赁业发展状况数据发布</w:t>
      </w:r>
      <w:bookmarkEnd w:id="23"/>
      <w:bookmarkEnd w:id="24"/>
      <w:bookmarkEnd w:id="25"/>
      <w:bookmarkEnd w:id="26"/>
      <w:bookmarkEnd w:id="27"/>
    </w:p>
    <w:p>
      <w:pPr>
        <w:pStyle w:val="12"/>
        <w:shd w:val="clear" w:color="auto" w:fill="FFFFFF"/>
        <w:spacing w:before="0" w:beforeAutospacing="0" w:after="0" w:afterAutospacing="0" w:line="278" w:lineRule="atLeast"/>
        <w:jc w:val="center"/>
        <w:rPr>
          <w:color w:val="3E3E3E"/>
          <w:sz w:val="18"/>
          <w:szCs w:val="18"/>
        </w:rPr>
      </w:pPr>
    </w:p>
    <w:p>
      <w:pPr>
        <w:jc w:val="center"/>
        <w:rPr>
          <w:rFonts w:asciiTheme="minorEastAsia" w:hAnsiTheme="minorEastAsia"/>
          <w:sz w:val="28"/>
          <w:szCs w:val="28"/>
        </w:rPr>
      </w:pPr>
      <w:r>
        <w:rPr>
          <w:rFonts w:hint="eastAsia" w:asciiTheme="minorEastAsia" w:hAnsiTheme="minorEastAsia"/>
          <w:sz w:val="28"/>
          <w:szCs w:val="28"/>
        </w:rPr>
        <w:t>发布单位：北京市租赁行业协会</w:t>
      </w:r>
    </w:p>
    <w:p>
      <w:pPr>
        <w:jc w:val="center"/>
        <w:rPr>
          <w:rFonts w:asciiTheme="minorEastAsia" w:hAnsiTheme="minorEastAsia"/>
          <w:sz w:val="28"/>
          <w:szCs w:val="28"/>
        </w:rPr>
      </w:pPr>
    </w:p>
    <w:p>
      <w:pPr>
        <w:spacing w:line="360" w:lineRule="auto"/>
        <w:ind w:firstLine="560" w:firstLineChars="200"/>
        <w:rPr>
          <w:rFonts w:asciiTheme="minorEastAsia" w:hAnsiTheme="minorEastAsia"/>
          <w:sz w:val="28"/>
          <w:szCs w:val="28"/>
        </w:rPr>
      </w:pPr>
      <w:r>
        <w:rPr>
          <w:rFonts w:asciiTheme="minorEastAsia" w:hAnsiTheme="minorEastAsia"/>
          <w:sz w:val="28"/>
          <w:szCs w:val="28"/>
        </w:rPr>
        <w:t>2015</w:t>
      </w:r>
      <w:r>
        <w:rPr>
          <w:rFonts w:hint="eastAsia" w:asciiTheme="minorEastAsia" w:hAnsiTheme="minorEastAsia"/>
          <w:sz w:val="28"/>
          <w:szCs w:val="28"/>
        </w:rPr>
        <w:t>年北京市融资租赁业发展取得了一定进步，现将有关数据发布如下：</w:t>
      </w:r>
    </w:p>
    <w:p>
      <w:pPr>
        <w:spacing w:line="360" w:lineRule="auto"/>
        <w:ind w:firstLine="560" w:firstLineChars="200"/>
        <w:rPr>
          <w:rFonts w:asciiTheme="minorEastAsia" w:hAnsiTheme="minorEastAsia"/>
          <w:sz w:val="28"/>
          <w:szCs w:val="28"/>
        </w:rPr>
      </w:pPr>
    </w:p>
    <w:p>
      <w:pPr>
        <w:ind w:firstLine="562" w:firstLineChars="200"/>
        <w:rPr>
          <w:rFonts w:asciiTheme="minorEastAsia" w:hAnsiTheme="minorEastAsia"/>
          <w:b/>
          <w:sz w:val="28"/>
          <w:szCs w:val="28"/>
        </w:rPr>
      </w:pPr>
      <w:r>
        <w:rPr>
          <w:rFonts w:hint="eastAsia" w:asciiTheme="minorEastAsia" w:hAnsiTheme="minorEastAsia"/>
          <w:b/>
          <w:sz w:val="28"/>
          <w:szCs w:val="28"/>
        </w:rPr>
        <w:t>数据统计截止日期</w:t>
      </w:r>
    </w:p>
    <w:p>
      <w:pPr>
        <w:ind w:firstLine="560" w:firstLineChars="200"/>
        <w:rPr>
          <w:rFonts w:asciiTheme="minorEastAsia" w:hAnsiTheme="minorEastAsia"/>
          <w:sz w:val="28"/>
          <w:szCs w:val="28"/>
        </w:rPr>
      </w:pPr>
      <w:r>
        <w:rPr>
          <w:rFonts w:asciiTheme="minorEastAsia" w:hAnsiTheme="minorEastAsia"/>
          <w:sz w:val="28"/>
          <w:szCs w:val="28"/>
        </w:rPr>
        <w:t>2015</w:t>
      </w:r>
      <w:r>
        <w:rPr>
          <w:rFonts w:hint="eastAsia" w:asciiTheme="minorEastAsia" w:hAnsiTheme="minorEastAsia"/>
          <w:sz w:val="28"/>
          <w:szCs w:val="28"/>
        </w:rPr>
        <w:t>年</w:t>
      </w:r>
      <w:r>
        <w:rPr>
          <w:rFonts w:asciiTheme="minorEastAsia" w:hAnsiTheme="minorEastAsia"/>
          <w:sz w:val="28"/>
          <w:szCs w:val="28"/>
        </w:rPr>
        <w:t>12</w:t>
      </w:r>
      <w:r>
        <w:rPr>
          <w:rFonts w:hint="eastAsia" w:asciiTheme="minorEastAsia" w:hAnsiTheme="minorEastAsia"/>
          <w:sz w:val="28"/>
          <w:szCs w:val="28"/>
        </w:rPr>
        <w:t>月</w:t>
      </w:r>
      <w:r>
        <w:rPr>
          <w:rFonts w:asciiTheme="minorEastAsia" w:hAnsiTheme="minorEastAsia"/>
          <w:sz w:val="28"/>
          <w:szCs w:val="28"/>
        </w:rPr>
        <w:t>31</w:t>
      </w:r>
      <w:r>
        <w:rPr>
          <w:rFonts w:hint="eastAsia" w:asciiTheme="minorEastAsia" w:hAnsiTheme="minorEastAsia"/>
          <w:sz w:val="28"/>
          <w:szCs w:val="28"/>
        </w:rPr>
        <w:t>日</w:t>
      </w:r>
    </w:p>
    <w:p>
      <w:pPr>
        <w:ind w:firstLine="560" w:firstLineChars="200"/>
        <w:rPr>
          <w:rFonts w:asciiTheme="minorEastAsia" w:hAnsiTheme="minorEastAsia"/>
          <w:sz w:val="28"/>
          <w:szCs w:val="28"/>
        </w:rPr>
      </w:pPr>
    </w:p>
    <w:p>
      <w:pPr>
        <w:ind w:firstLine="562" w:firstLineChars="200"/>
        <w:rPr>
          <w:rFonts w:asciiTheme="minorEastAsia" w:hAnsiTheme="minorEastAsia"/>
          <w:b/>
          <w:sz w:val="28"/>
          <w:szCs w:val="28"/>
        </w:rPr>
      </w:pPr>
      <w:r>
        <w:rPr>
          <w:rFonts w:hint="eastAsia" w:asciiTheme="minorEastAsia" w:hAnsiTheme="minorEastAsia"/>
          <w:b/>
          <w:sz w:val="28"/>
          <w:szCs w:val="28"/>
        </w:rPr>
        <w:t>数据采集对象</w:t>
      </w:r>
    </w:p>
    <w:p>
      <w:pPr>
        <w:ind w:firstLine="560" w:firstLineChars="200"/>
        <w:rPr>
          <w:rFonts w:asciiTheme="minorEastAsia" w:hAnsiTheme="minorEastAsia"/>
          <w:sz w:val="28"/>
          <w:szCs w:val="28"/>
        </w:rPr>
      </w:pPr>
      <w:r>
        <w:rPr>
          <w:rFonts w:asciiTheme="minorEastAsia" w:hAnsiTheme="minorEastAsia"/>
          <w:sz w:val="28"/>
          <w:szCs w:val="28"/>
        </w:rPr>
        <w:t>1、</w:t>
      </w:r>
      <w:r>
        <w:rPr>
          <w:rFonts w:hint="eastAsia" w:asciiTheme="minorEastAsia" w:hAnsiTheme="minorEastAsia"/>
          <w:sz w:val="28"/>
          <w:szCs w:val="28"/>
        </w:rPr>
        <w:t>在北京注册的内资试点融资租赁企业。</w:t>
      </w:r>
    </w:p>
    <w:p>
      <w:pPr>
        <w:ind w:firstLine="560" w:firstLineChars="200"/>
        <w:rPr>
          <w:rFonts w:asciiTheme="minorEastAsia" w:hAnsiTheme="minorEastAsia"/>
          <w:sz w:val="28"/>
          <w:szCs w:val="28"/>
        </w:rPr>
      </w:pPr>
      <w:r>
        <w:rPr>
          <w:rFonts w:asciiTheme="minorEastAsia" w:hAnsiTheme="minorEastAsia"/>
          <w:sz w:val="28"/>
          <w:szCs w:val="28"/>
        </w:rPr>
        <w:t>2、</w:t>
      </w:r>
      <w:r>
        <w:rPr>
          <w:rFonts w:hint="eastAsia" w:asciiTheme="minorEastAsia" w:hAnsiTheme="minorEastAsia"/>
          <w:sz w:val="28"/>
          <w:szCs w:val="28"/>
        </w:rPr>
        <w:t>在北京注册的外资融资租赁企业。</w:t>
      </w:r>
    </w:p>
    <w:p>
      <w:pPr>
        <w:ind w:firstLine="560" w:firstLineChars="200"/>
        <w:rPr>
          <w:rFonts w:asciiTheme="minorEastAsia" w:hAnsiTheme="minorEastAsia"/>
          <w:sz w:val="28"/>
          <w:szCs w:val="28"/>
        </w:rPr>
      </w:pPr>
    </w:p>
    <w:p>
      <w:pPr>
        <w:ind w:firstLine="562" w:firstLineChars="200"/>
        <w:rPr>
          <w:rFonts w:asciiTheme="minorEastAsia" w:hAnsiTheme="minorEastAsia"/>
          <w:b/>
          <w:sz w:val="28"/>
          <w:szCs w:val="28"/>
        </w:rPr>
      </w:pPr>
      <w:r>
        <w:rPr>
          <w:rFonts w:hint="eastAsia" w:asciiTheme="minorEastAsia" w:hAnsiTheme="minorEastAsia"/>
          <w:b/>
          <w:sz w:val="28"/>
          <w:szCs w:val="28"/>
        </w:rPr>
        <w:t>融资租赁业概况</w:t>
      </w:r>
    </w:p>
    <w:p>
      <w:pPr>
        <w:ind w:firstLine="560" w:firstLineChars="200"/>
        <w:rPr>
          <w:rFonts w:asciiTheme="minorEastAsia" w:hAnsiTheme="minorEastAsia"/>
          <w:sz w:val="28"/>
          <w:szCs w:val="28"/>
        </w:rPr>
      </w:pPr>
      <w:r>
        <w:rPr>
          <w:rFonts w:asciiTheme="minorEastAsia" w:hAnsiTheme="minorEastAsia"/>
          <w:sz w:val="28"/>
          <w:szCs w:val="28"/>
        </w:rPr>
        <w:t>1、</w:t>
      </w:r>
      <w:r>
        <w:rPr>
          <w:rFonts w:hint="eastAsia" w:asciiTheme="minorEastAsia" w:hAnsiTheme="minorEastAsia"/>
          <w:sz w:val="28"/>
          <w:szCs w:val="28"/>
        </w:rPr>
        <w:t>北京市有内、外资融资租赁企业数</w:t>
      </w:r>
      <w:r>
        <w:rPr>
          <w:rFonts w:asciiTheme="minorEastAsia" w:hAnsiTheme="minorEastAsia"/>
          <w:sz w:val="28"/>
          <w:szCs w:val="28"/>
        </w:rPr>
        <w:t>198</w:t>
      </w:r>
      <w:r>
        <w:rPr>
          <w:rFonts w:hint="eastAsia" w:asciiTheme="minorEastAsia" w:hAnsiTheme="minorEastAsia"/>
          <w:sz w:val="28"/>
          <w:szCs w:val="28"/>
        </w:rPr>
        <w:t>家，其中内资融资租赁试点企业</w:t>
      </w:r>
      <w:r>
        <w:rPr>
          <w:rFonts w:asciiTheme="minorEastAsia" w:hAnsiTheme="minorEastAsia"/>
          <w:sz w:val="28"/>
          <w:szCs w:val="28"/>
        </w:rPr>
        <w:t>27</w:t>
      </w:r>
      <w:r>
        <w:rPr>
          <w:rFonts w:hint="eastAsia" w:asciiTheme="minorEastAsia" w:hAnsiTheme="minorEastAsia"/>
          <w:sz w:val="28"/>
          <w:szCs w:val="28"/>
        </w:rPr>
        <w:t>家，外资融资租赁企业</w:t>
      </w:r>
      <w:r>
        <w:rPr>
          <w:rFonts w:asciiTheme="minorEastAsia" w:hAnsiTheme="minorEastAsia"/>
          <w:sz w:val="28"/>
          <w:szCs w:val="28"/>
        </w:rPr>
        <w:t>171</w:t>
      </w:r>
      <w:r>
        <w:rPr>
          <w:rFonts w:hint="eastAsia" w:asciiTheme="minorEastAsia" w:hAnsiTheme="minorEastAsia"/>
          <w:sz w:val="28"/>
          <w:szCs w:val="28"/>
        </w:rPr>
        <w:t>家。</w:t>
      </w:r>
    </w:p>
    <w:p>
      <w:pPr>
        <w:ind w:firstLine="560" w:firstLineChars="200"/>
        <w:rPr>
          <w:rFonts w:asciiTheme="minorEastAsia" w:hAnsiTheme="minorEastAsia"/>
          <w:sz w:val="28"/>
          <w:szCs w:val="28"/>
        </w:rPr>
      </w:pPr>
      <w:r>
        <w:rPr>
          <w:rFonts w:asciiTheme="minorEastAsia" w:hAnsiTheme="minorEastAsia"/>
          <w:sz w:val="28"/>
          <w:szCs w:val="28"/>
        </w:rPr>
        <w:t>2、</w:t>
      </w:r>
      <w:r>
        <w:rPr>
          <w:rFonts w:hint="eastAsia" w:asciiTheme="minorEastAsia" w:hAnsiTheme="minorEastAsia"/>
          <w:sz w:val="28"/>
          <w:szCs w:val="28"/>
        </w:rPr>
        <w:t>融资租赁企业从业人员</w:t>
      </w:r>
      <w:r>
        <w:rPr>
          <w:rFonts w:asciiTheme="minorEastAsia" w:hAnsiTheme="minorEastAsia"/>
          <w:sz w:val="28"/>
          <w:szCs w:val="28"/>
        </w:rPr>
        <w:t>5194</w:t>
      </w:r>
      <w:r>
        <w:rPr>
          <w:rFonts w:hint="eastAsia" w:asciiTheme="minorEastAsia" w:hAnsiTheme="minorEastAsia"/>
          <w:sz w:val="28"/>
          <w:szCs w:val="28"/>
        </w:rPr>
        <w:t>人，其中内资融资租赁企业</w:t>
      </w:r>
      <w:r>
        <w:rPr>
          <w:rFonts w:asciiTheme="minorEastAsia" w:hAnsiTheme="minorEastAsia"/>
          <w:sz w:val="28"/>
          <w:szCs w:val="28"/>
        </w:rPr>
        <w:t>1633</w:t>
      </w:r>
      <w:r>
        <w:rPr>
          <w:rFonts w:hint="eastAsia" w:asciiTheme="minorEastAsia" w:hAnsiTheme="minorEastAsia"/>
          <w:sz w:val="28"/>
          <w:szCs w:val="28"/>
        </w:rPr>
        <w:t>人，外资融资租赁企业</w:t>
      </w:r>
      <w:r>
        <w:rPr>
          <w:rFonts w:asciiTheme="minorEastAsia" w:hAnsiTheme="minorEastAsia"/>
          <w:sz w:val="28"/>
          <w:szCs w:val="28"/>
        </w:rPr>
        <w:t>3561</w:t>
      </w:r>
      <w:r>
        <w:rPr>
          <w:rFonts w:hint="eastAsia" w:asciiTheme="minorEastAsia" w:hAnsiTheme="minorEastAsia"/>
          <w:sz w:val="28"/>
          <w:szCs w:val="28"/>
        </w:rPr>
        <w:t>人。</w:t>
      </w:r>
    </w:p>
    <w:p>
      <w:pPr>
        <w:ind w:firstLine="560" w:firstLineChars="200"/>
        <w:rPr>
          <w:rFonts w:asciiTheme="minorEastAsia" w:hAnsiTheme="minorEastAsia"/>
          <w:sz w:val="28"/>
          <w:szCs w:val="28"/>
        </w:rPr>
      </w:pPr>
      <w:r>
        <w:rPr>
          <w:rFonts w:asciiTheme="minorEastAsia" w:hAnsiTheme="minorEastAsia"/>
          <w:sz w:val="28"/>
          <w:szCs w:val="28"/>
        </w:rPr>
        <w:t>3、</w:t>
      </w:r>
      <w:r>
        <w:rPr>
          <w:rFonts w:hint="eastAsia" w:asciiTheme="minorEastAsia" w:hAnsiTheme="minorEastAsia"/>
          <w:sz w:val="28"/>
          <w:szCs w:val="28"/>
        </w:rPr>
        <w:t>融资租赁企业总资产超过</w:t>
      </w:r>
      <w:r>
        <w:rPr>
          <w:rFonts w:asciiTheme="minorEastAsia" w:hAnsiTheme="minorEastAsia"/>
          <w:sz w:val="28"/>
          <w:szCs w:val="28"/>
        </w:rPr>
        <w:t>100</w:t>
      </w:r>
      <w:r>
        <w:rPr>
          <w:rFonts w:hint="eastAsia" w:asciiTheme="minorEastAsia" w:hAnsiTheme="minorEastAsia"/>
          <w:sz w:val="28"/>
          <w:szCs w:val="28"/>
        </w:rPr>
        <w:t>亿元的有</w:t>
      </w:r>
      <w:r>
        <w:rPr>
          <w:rFonts w:asciiTheme="minorEastAsia" w:hAnsiTheme="minorEastAsia"/>
          <w:sz w:val="28"/>
          <w:szCs w:val="28"/>
        </w:rPr>
        <w:t xml:space="preserve">6 </w:t>
      </w:r>
      <w:r>
        <w:rPr>
          <w:rFonts w:hint="eastAsia" w:asciiTheme="minorEastAsia" w:hAnsiTheme="minorEastAsia"/>
          <w:sz w:val="28"/>
          <w:szCs w:val="28"/>
        </w:rPr>
        <w:t>家；</w:t>
      </w:r>
      <w:r>
        <w:rPr>
          <w:rFonts w:asciiTheme="minorEastAsia" w:hAnsiTheme="minorEastAsia"/>
          <w:sz w:val="28"/>
          <w:szCs w:val="28"/>
        </w:rPr>
        <w:t>50</w:t>
      </w:r>
      <w:r>
        <w:rPr>
          <w:rFonts w:hint="eastAsia" w:asciiTheme="minorEastAsia" w:hAnsiTheme="minorEastAsia"/>
          <w:sz w:val="28"/>
          <w:szCs w:val="28"/>
        </w:rPr>
        <w:t>亿元至</w:t>
      </w:r>
      <w:r>
        <w:rPr>
          <w:rFonts w:asciiTheme="minorEastAsia" w:hAnsiTheme="minorEastAsia"/>
          <w:sz w:val="28"/>
          <w:szCs w:val="28"/>
        </w:rPr>
        <w:t>100</w:t>
      </w:r>
      <w:r>
        <w:rPr>
          <w:rFonts w:hint="eastAsia" w:asciiTheme="minorEastAsia" w:hAnsiTheme="minorEastAsia"/>
          <w:sz w:val="28"/>
          <w:szCs w:val="28"/>
        </w:rPr>
        <w:t>亿元有</w:t>
      </w:r>
      <w:r>
        <w:rPr>
          <w:rFonts w:asciiTheme="minorEastAsia" w:hAnsiTheme="minorEastAsia"/>
          <w:sz w:val="28"/>
          <w:szCs w:val="28"/>
        </w:rPr>
        <w:t>7</w:t>
      </w:r>
      <w:r>
        <w:rPr>
          <w:rFonts w:hint="eastAsia" w:asciiTheme="minorEastAsia" w:hAnsiTheme="minorEastAsia"/>
          <w:sz w:val="28"/>
          <w:szCs w:val="28"/>
        </w:rPr>
        <w:t>家；</w:t>
      </w:r>
      <w:r>
        <w:rPr>
          <w:rFonts w:asciiTheme="minorEastAsia" w:hAnsiTheme="minorEastAsia"/>
          <w:sz w:val="28"/>
          <w:szCs w:val="28"/>
        </w:rPr>
        <w:t>30</w:t>
      </w:r>
      <w:r>
        <w:rPr>
          <w:rFonts w:hint="eastAsia" w:asciiTheme="minorEastAsia" w:hAnsiTheme="minorEastAsia"/>
          <w:sz w:val="28"/>
          <w:szCs w:val="28"/>
        </w:rPr>
        <w:t>亿元至</w:t>
      </w:r>
      <w:r>
        <w:rPr>
          <w:rFonts w:asciiTheme="minorEastAsia" w:hAnsiTheme="minorEastAsia"/>
          <w:sz w:val="28"/>
          <w:szCs w:val="28"/>
        </w:rPr>
        <w:t>50</w:t>
      </w:r>
      <w:r>
        <w:rPr>
          <w:rFonts w:hint="eastAsia" w:asciiTheme="minorEastAsia" w:hAnsiTheme="minorEastAsia"/>
          <w:sz w:val="28"/>
          <w:szCs w:val="28"/>
        </w:rPr>
        <w:t>亿元有</w:t>
      </w:r>
      <w:r>
        <w:rPr>
          <w:rFonts w:asciiTheme="minorEastAsia" w:hAnsiTheme="minorEastAsia"/>
          <w:sz w:val="28"/>
          <w:szCs w:val="28"/>
        </w:rPr>
        <w:t xml:space="preserve">11 </w:t>
      </w:r>
      <w:r>
        <w:rPr>
          <w:rFonts w:hint="eastAsia" w:asciiTheme="minorEastAsia" w:hAnsiTheme="minorEastAsia"/>
          <w:sz w:val="28"/>
          <w:szCs w:val="28"/>
        </w:rPr>
        <w:t>家；</w:t>
      </w:r>
      <w:r>
        <w:rPr>
          <w:rFonts w:asciiTheme="minorEastAsia" w:hAnsiTheme="minorEastAsia"/>
          <w:sz w:val="28"/>
          <w:szCs w:val="28"/>
        </w:rPr>
        <w:t>10</w:t>
      </w:r>
      <w:r>
        <w:rPr>
          <w:rFonts w:hint="eastAsia" w:asciiTheme="minorEastAsia" w:hAnsiTheme="minorEastAsia"/>
          <w:sz w:val="28"/>
          <w:szCs w:val="28"/>
        </w:rPr>
        <w:t>亿元至</w:t>
      </w:r>
      <w:r>
        <w:rPr>
          <w:rFonts w:asciiTheme="minorEastAsia" w:hAnsiTheme="minorEastAsia"/>
          <w:sz w:val="28"/>
          <w:szCs w:val="28"/>
        </w:rPr>
        <w:t>30</w:t>
      </w:r>
      <w:r>
        <w:rPr>
          <w:rFonts w:hint="eastAsia" w:asciiTheme="minorEastAsia" w:hAnsiTheme="minorEastAsia"/>
          <w:sz w:val="28"/>
          <w:szCs w:val="28"/>
        </w:rPr>
        <w:t>亿元有</w:t>
      </w:r>
      <w:r>
        <w:rPr>
          <w:rFonts w:asciiTheme="minorEastAsia" w:hAnsiTheme="minorEastAsia"/>
          <w:sz w:val="28"/>
          <w:szCs w:val="28"/>
        </w:rPr>
        <w:t xml:space="preserve">20 </w:t>
      </w:r>
      <w:r>
        <w:rPr>
          <w:rFonts w:hint="eastAsia" w:asciiTheme="minorEastAsia" w:hAnsiTheme="minorEastAsia"/>
          <w:sz w:val="28"/>
          <w:szCs w:val="28"/>
        </w:rPr>
        <w:t>家；</w:t>
      </w:r>
      <w:r>
        <w:rPr>
          <w:rFonts w:asciiTheme="minorEastAsia" w:hAnsiTheme="minorEastAsia"/>
          <w:sz w:val="28"/>
          <w:szCs w:val="28"/>
        </w:rPr>
        <w:t>5</w:t>
      </w:r>
      <w:r>
        <w:rPr>
          <w:rFonts w:hint="eastAsia" w:asciiTheme="minorEastAsia" w:hAnsiTheme="minorEastAsia"/>
          <w:sz w:val="28"/>
          <w:szCs w:val="28"/>
        </w:rPr>
        <w:t>亿元至</w:t>
      </w:r>
      <w:r>
        <w:rPr>
          <w:rFonts w:asciiTheme="minorEastAsia" w:hAnsiTheme="minorEastAsia"/>
          <w:sz w:val="28"/>
          <w:szCs w:val="28"/>
        </w:rPr>
        <w:t>10</w:t>
      </w:r>
      <w:r>
        <w:rPr>
          <w:rFonts w:hint="eastAsia" w:asciiTheme="minorEastAsia" w:hAnsiTheme="minorEastAsia"/>
          <w:sz w:val="28"/>
          <w:szCs w:val="28"/>
        </w:rPr>
        <w:t>亿元有</w:t>
      </w:r>
      <w:r>
        <w:rPr>
          <w:rFonts w:asciiTheme="minorEastAsia" w:hAnsiTheme="minorEastAsia"/>
          <w:sz w:val="28"/>
          <w:szCs w:val="28"/>
        </w:rPr>
        <w:t xml:space="preserve">15 </w:t>
      </w:r>
      <w:r>
        <w:rPr>
          <w:rFonts w:hint="eastAsia" w:asciiTheme="minorEastAsia" w:hAnsiTheme="minorEastAsia"/>
          <w:sz w:val="28"/>
          <w:szCs w:val="28"/>
        </w:rPr>
        <w:t>家；</w:t>
      </w:r>
      <w:r>
        <w:rPr>
          <w:rFonts w:asciiTheme="minorEastAsia" w:hAnsiTheme="minorEastAsia"/>
          <w:sz w:val="28"/>
          <w:szCs w:val="28"/>
        </w:rPr>
        <w:t>1</w:t>
      </w:r>
      <w:r>
        <w:rPr>
          <w:rFonts w:hint="eastAsia" w:asciiTheme="minorEastAsia" w:hAnsiTheme="minorEastAsia"/>
          <w:sz w:val="28"/>
          <w:szCs w:val="28"/>
        </w:rPr>
        <w:t>亿元至</w:t>
      </w:r>
      <w:r>
        <w:rPr>
          <w:rFonts w:asciiTheme="minorEastAsia" w:hAnsiTheme="minorEastAsia"/>
          <w:sz w:val="28"/>
          <w:szCs w:val="28"/>
        </w:rPr>
        <w:t>5</w:t>
      </w:r>
      <w:r>
        <w:rPr>
          <w:rFonts w:hint="eastAsia" w:asciiTheme="minorEastAsia" w:hAnsiTheme="minorEastAsia"/>
          <w:sz w:val="28"/>
          <w:szCs w:val="28"/>
        </w:rPr>
        <w:t>亿元有</w:t>
      </w:r>
      <w:r>
        <w:rPr>
          <w:rFonts w:asciiTheme="minorEastAsia" w:hAnsiTheme="minorEastAsia"/>
          <w:sz w:val="28"/>
          <w:szCs w:val="28"/>
        </w:rPr>
        <w:t>32</w:t>
      </w:r>
      <w:r>
        <w:rPr>
          <w:rFonts w:hint="eastAsia" w:asciiTheme="minorEastAsia" w:hAnsiTheme="minorEastAsia"/>
          <w:sz w:val="28"/>
          <w:szCs w:val="28"/>
        </w:rPr>
        <w:t>家。</w:t>
      </w:r>
    </w:p>
    <w:p>
      <w:pPr>
        <w:ind w:firstLine="562" w:firstLineChars="200"/>
        <w:rPr>
          <w:rFonts w:asciiTheme="minorEastAsia" w:hAnsiTheme="minorEastAsia"/>
          <w:sz w:val="28"/>
          <w:szCs w:val="28"/>
        </w:rPr>
      </w:pPr>
      <w:r>
        <w:rPr>
          <w:rFonts w:hint="eastAsia" w:asciiTheme="minorEastAsia" w:hAnsiTheme="minorEastAsia"/>
          <w:b/>
          <w:sz w:val="28"/>
          <w:szCs w:val="28"/>
        </w:rPr>
        <w:t>经营数据</w:t>
      </w:r>
      <w:r>
        <w:rPr>
          <w:rFonts w:hint="eastAsia" w:asciiTheme="minorEastAsia" w:hAnsiTheme="minorEastAsia"/>
          <w:sz w:val="28"/>
          <w:szCs w:val="28"/>
        </w:rPr>
        <w:t>（人民币）</w:t>
      </w:r>
    </w:p>
    <w:p>
      <w:pPr>
        <w:ind w:firstLine="560" w:firstLineChars="200"/>
        <w:rPr>
          <w:rFonts w:asciiTheme="minorEastAsia" w:hAnsiTheme="minorEastAsia"/>
          <w:sz w:val="28"/>
          <w:szCs w:val="28"/>
        </w:rPr>
      </w:pPr>
      <w:r>
        <w:rPr>
          <w:rFonts w:asciiTheme="minorEastAsia" w:hAnsiTheme="minorEastAsia"/>
          <w:sz w:val="28"/>
          <w:szCs w:val="28"/>
        </w:rPr>
        <w:t>1、</w:t>
      </w:r>
      <w:r>
        <w:rPr>
          <w:rFonts w:hint="eastAsia" w:asciiTheme="minorEastAsia" w:hAnsiTheme="minorEastAsia"/>
          <w:sz w:val="28"/>
          <w:szCs w:val="28"/>
        </w:rPr>
        <w:t>融资租赁企业总资产为</w:t>
      </w:r>
      <w:r>
        <w:rPr>
          <w:rFonts w:asciiTheme="minorEastAsia" w:hAnsiTheme="minorEastAsia"/>
          <w:sz w:val="28"/>
          <w:szCs w:val="28"/>
        </w:rPr>
        <w:t>2255.84</w:t>
      </w:r>
      <w:r>
        <w:rPr>
          <w:rFonts w:hint="eastAsia" w:asciiTheme="minorEastAsia" w:hAnsiTheme="minorEastAsia"/>
          <w:sz w:val="28"/>
          <w:szCs w:val="28"/>
        </w:rPr>
        <w:t>亿元，其中内资融资租赁企业</w:t>
      </w:r>
      <w:r>
        <w:rPr>
          <w:rFonts w:asciiTheme="minorEastAsia" w:hAnsiTheme="minorEastAsia"/>
          <w:sz w:val="28"/>
          <w:szCs w:val="28"/>
        </w:rPr>
        <w:t>686.38</w:t>
      </w:r>
      <w:r>
        <w:rPr>
          <w:rFonts w:hint="eastAsia" w:asciiTheme="minorEastAsia" w:hAnsiTheme="minorEastAsia"/>
          <w:sz w:val="28"/>
          <w:szCs w:val="28"/>
        </w:rPr>
        <w:t>亿元，外资融资租赁企业</w:t>
      </w:r>
      <w:r>
        <w:rPr>
          <w:rFonts w:asciiTheme="minorEastAsia" w:hAnsiTheme="minorEastAsia"/>
          <w:sz w:val="28"/>
          <w:szCs w:val="28"/>
        </w:rPr>
        <w:t>1569.46</w:t>
      </w:r>
      <w:r>
        <w:rPr>
          <w:rFonts w:hint="eastAsia" w:asciiTheme="minorEastAsia" w:hAnsiTheme="minorEastAsia"/>
          <w:sz w:val="28"/>
          <w:szCs w:val="28"/>
        </w:rPr>
        <w:t>亿元。</w:t>
      </w:r>
    </w:p>
    <w:p>
      <w:pPr>
        <w:ind w:firstLine="560" w:firstLineChars="200"/>
        <w:rPr>
          <w:rFonts w:asciiTheme="minorEastAsia" w:hAnsiTheme="minorEastAsia"/>
          <w:sz w:val="28"/>
          <w:szCs w:val="28"/>
        </w:rPr>
      </w:pPr>
      <w:r>
        <w:rPr>
          <w:rFonts w:asciiTheme="minorEastAsia" w:hAnsiTheme="minorEastAsia"/>
          <w:sz w:val="28"/>
          <w:szCs w:val="28"/>
        </w:rPr>
        <w:t>2、</w:t>
      </w:r>
      <w:r>
        <w:rPr>
          <w:rFonts w:hint="eastAsia" w:asciiTheme="minorEastAsia" w:hAnsiTheme="minorEastAsia"/>
          <w:sz w:val="28"/>
          <w:szCs w:val="28"/>
        </w:rPr>
        <w:t>融资租赁企业租赁资产为</w:t>
      </w:r>
      <w:r>
        <w:rPr>
          <w:rFonts w:asciiTheme="minorEastAsia" w:hAnsiTheme="minorEastAsia"/>
          <w:sz w:val="28"/>
          <w:szCs w:val="28"/>
        </w:rPr>
        <w:t>1439.07</w:t>
      </w:r>
      <w:r>
        <w:rPr>
          <w:rFonts w:hint="eastAsia" w:asciiTheme="minorEastAsia" w:hAnsiTheme="minorEastAsia"/>
          <w:sz w:val="28"/>
          <w:szCs w:val="28"/>
        </w:rPr>
        <w:t>亿元，其中内资融资租赁企业</w:t>
      </w:r>
      <w:r>
        <w:rPr>
          <w:rFonts w:asciiTheme="minorEastAsia" w:hAnsiTheme="minorEastAsia"/>
          <w:sz w:val="28"/>
          <w:szCs w:val="28"/>
        </w:rPr>
        <w:t>381.80</w:t>
      </w:r>
      <w:r>
        <w:rPr>
          <w:rFonts w:hint="eastAsia" w:asciiTheme="minorEastAsia" w:hAnsiTheme="minorEastAsia"/>
          <w:sz w:val="28"/>
          <w:szCs w:val="28"/>
        </w:rPr>
        <w:t>亿元，外资融资租赁企业</w:t>
      </w:r>
      <w:r>
        <w:rPr>
          <w:rFonts w:asciiTheme="minorEastAsia" w:hAnsiTheme="minorEastAsia"/>
          <w:sz w:val="28"/>
          <w:szCs w:val="28"/>
        </w:rPr>
        <w:t>1057.27</w:t>
      </w:r>
      <w:r>
        <w:rPr>
          <w:rFonts w:hint="eastAsia" w:asciiTheme="minorEastAsia" w:hAnsiTheme="minorEastAsia"/>
          <w:sz w:val="28"/>
          <w:szCs w:val="28"/>
        </w:rPr>
        <w:t>亿元。</w:t>
      </w:r>
    </w:p>
    <w:p>
      <w:pPr>
        <w:ind w:firstLine="560" w:firstLineChars="200"/>
        <w:rPr>
          <w:rFonts w:asciiTheme="minorEastAsia" w:hAnsiTheme="minorEastAsia"/>
          <w:sz w:val="28"/>
          <w:szCs w:val="28"/>
        </w:rPr>
      </w:pPr>
      <w:r>
        <w:rPr>
          <w:rFonts w:asciiTheme="minorEastAsia" w:hAnsiTheme="minorEastAsia"/>
          <w:sz w:val="28"/>
          <w:szCs w:val="28"/>
        </w:rPr>
        <w:t>3、</w:t>
      </w:r>
      <w:r>
        <w:rPr>
          <w:rFonts w:hint="eastAsia" w:asciiTheme="minorEastAsia" w:hAnsiTheme="minorEastAsia"/>
          <w:sz w:val="28"/>
          <w:szCs w:val="28"/>
        </w:rPr>
        <w:t>融资租赁企业的总负债为</w:t>
      </w:r>
      <w:r>
        <w:rPr>
          <w:rFonts w:asciiTheme="minorEastAsia" w:hAnsiTheme="minorEastAsia"/>
          <w:sz w:val="28"/>
          <w:szCs w:val="28"/>
        </w:rPr>
        <w:t>1640.66</w:t>
      </w:r>
      <w:r>
        <w:rPr>
          <w:rFonts w:hint="eastAsia" w:asciiTheme="minorEastAsia" w:hAnsiTheme="minorEastAsia"/>
          <w:sz w:val="28"/>
          <w:szCs w:val="28"/>
        </w:rPr>
        <w:t>亿元人民币，其中内资融资租赁企业</w:t>
      </w:r>
      <w:r>
        <w:rPr>
          <w:rFonts w:asciiTheme="minorEastAsia" w:hAnsiTheme="minorEastAsia"/>
          <w:sz w:val="28"/>
          <w:szCs w:val="28"/>
        </w:rPr>
        <w:t>469.44</w:t>
      </w:r>
      <w:r>
        <w:rPr>
          <w:rFonts w:hint="eastAsia" w:asciiTheme="minorEastAsia" w:hAnsiTheme="minorEastAsia"/>
          <w:sz w:val="28"/>
          <w:szCs w:val="28"/>
        </w:rPr>
        <w:t>亿元人民币，外资融资租赁企业</w:t>
      </w:r>
      <w:r>
        <w:rPr>
          <w:rFonts w:asciiTheme="minorEastAsia" w:hAnsiTheme="minorEastAsia"/>
          <w:sz w:val="28"/>
          <w:szCs w:val="28"/>
        </w:rPr>
        <w:t>1171.22</w:t>
      </w:r>
      <w:r>
        <w:rPr>
          <w:rFonts w:hint="eastAsia" w:asciiTheme="minorEastAsia" w:hAnsiTheme="minorEastAsia"/>
          <w:sz w:val="28"/>
          <w:szCs w:val="28"/>
        </w:rPr>
        <w:t>亿元。</w:t>
      </w:r>
    </w:p>
    <w:p>
      <w:pPr>
        <w:ind w:firstLine="560" w:firstLineChars="200"/>
        <w:rPr>
          <w:rFonts w:asciiTheme="minorEastAsia" w:hAnsiTheme="minorEastAsia"/>
          <w:sz w:val="28"/>
          <w:szCs w:val="28"/>
        </w:rPr>
      </w:pPr>
      <w:r>
        <w:rPr>
          <w:rFonts w:asciiTheme="minorEastAsia" w:hAnsiTheme="minorEastAsia"/>
          <w:sz w:val="28"/>
          <w:szCs w:val="28"/>
        </w:rPr>
        <w:t>4、</w:t>
      </w:r>
      <w:r>
        <w:rPr>
          <w:rFonts w:hint="eastAsia" w:asciiTheme="minorEastAsia" w:hAnsiTheme="minorEastAsia"/>
          <w:sz w:val="28"/>
          <w:szCs w:val="28"/>
        </w:rPr>
        <w:t>融资租赁企业总收入为</w:t>
      </w:r>
      <w:r>
        <w:rPr>
          <w:rFonts w:asciiTheme="minorEastAsia" w:hAnsiTheme="minorEastAsia"/>
          <w:sz w:val="28"/>
          <w:szCs w:val="28"/>
        </w:rPr>
        <w:t>267.35</w:t>
      </w:r>
      <w:r>
        <w:rPr>
          <w:rFonts w:hint="eastAsia" w:asciiTheme="minorEastAsia" w:hAnsiTheme="minorEastAsia"/>
          <w:sz w:val="28"/>
          <w:szCs w:val="28"/>
        </w:rPr>
        <w:t>亿元，其中内资融资租赁企业</w:t>
      </w:r>
      <w:r>
        <w:rPr>
          <w:rFonts w:asciiTheme="minorEastAsia" w:hAnsiTheme="minorEastAsia"/>
          <w:sz w:val="28"/>
          <w:szCs w:val="28"/>
        </w:rPr>
        <w:t>159.53</w:t>
      </w:r>
      <w:r>
        <w:rPr>
          <w:rFonts w:hint="eastAsia" w:asciiTheme="minorEastAsia" w:hAnsiTheme="minorEastAsia"/>
          <w:sz w:val="28"/>
          <w:szCs w:val="28"/>
        </w:rPr>
        <w:t>亿元，外资融资租赁企业</w:t>
      </w:r>
      <w:r>
        <w:rPr>
          <w:rFonts w:asciiTheme="minorEastAsia" w:hAnsiTheme="minorEastAsia"/>
          <w:sz w:val="28"/>
          <w:szCs w:val="28"/>
        </w:rPr>
        <w:t>107.82</w:t>
      </w:r>
      <w:r>
        <w:rPr>
          <w:rFonts w:hint="eastAsia" w:asciiTheme="minorEastAsia" w:hAnsiTheme="minorEastAsia"/>
          <w:sz w:val="28"/>
          <w:szCs w:val="28"/>
        </w:rPr>
        <w:t>亿元。</w:t>
      </w:r>
    </w:p>
    <w:p>
      <w:pPr>
        <w:ind w:firstLine="560" w:firstLineChars="200"/>
        <w:rPr>
          <w:rFonts w:asciiTheme="minorEastAsia" w:hAnsiTheme="minorEastAsia"/>
          <w:sz w:val="28"/>
          <w:szCs w:val="28"/>
        </w:rPr>
      </w:pPr>
      <w:r>
        <w:rPr>
          <w:rFonts w:asciiTheme="minorEastAsia" w:hAnsiTheme="minorEastAsia"/>
          <w:sz w:val="28"/>
          <w:szCs w:val="28"/>
        </w:rPr>
        <w:t>5、</w:t>
      </w:r>
      <w:r>
        <w:rPr>
          <w:rFonts w:hint="eastAsia" w:asciiTheme="minorEastAsia" w:hAnsiTheme="minorEastAsia"/>
          <w:sz w:val="28"/>
          <w:szCs w:val="28"/>
        </w:rPr>
        <w:t>融资租赁企业租赁业务收入</w:t>
      </w:r>
      <w:r>
        <w:rPr>
          <w:rFonts w:asciiTheme="minorEastAsia" w:hAnsiTheme="minorEastAsia"/>
          <w:sz w:val="28"/>
          <w:szCs w:val="28"/>
        </w:rPr>
        <w:t>6.73</w:t>
      </w:r>
      <w:r>
        <w:rPr>
          <w:rFonts w:hint="eastAsia" w:asciiTheme="minorEastAsia" w:hAnsiTheme="minorEastAsia"/>
          <w:sz w:val="28"/>
          <w:szCs w:val="28"/>
        </w:rPr>
        <w:t>亿元，其中内资融资租赁企业</w:t>
      </w:r>
      <w:r>
        <w:rPr>
          <w:rFonts w:asciiTheme="minorEastAsia" w:hAnsiTheme="minorEastAsia"/>
          <w:sz w:val="28"/>
          <w:szCs w:val="28"/>
        </w:rPr>
        <w:t>4.54</w:t>
      </w:r>
      <w:r>
        <w:rPr>
          <w:rFonts w:hint="eastAsia" w:asciiTheme="minorEastAsia" w:hAnsiTheme="minorEastAsia"/>
          <w:sz w:val="28"/>
          <w:szCs w:val="28"/>
        </w:rPr>
        <w:t>亿元，外资融资租赁企业</w:t>
      </w:r>
      <w:r>
        <w:rPr>
          <w:rFonts w:asciiTheme="minorEastAsia" w:hAnsiTheme="minorEastAsia"/>
          <w:sz w:val="28"/>
          <w:szCs w:val="28"/>
        </w:rPr>
        <w:t>2. 19</w:t>
      </w:r>
      <w:r>
        <w:rPr>
          <w:rFonts w:hint="eastAsia" w:asciiTheme="minorEastAsia" w:hAnsiTheme="minorEastAsia"/>
          <w:sz w:val="28"/>
          <w:szCs w:val="28"/>
        </w:rPr>
        <w:t>亿元。</w:t>
      </w:r>
    </w:p>
    <w:p>
      <w:pPr>
        <w:ind w:firstLine="560" w:firstLineChars="200"/>
        <w:rPr>
          <w:rFonts w:asciiTheme="minorEastAsia" w:hAnsiTheme="minorEastAsia"/>
          <w:sz w:val="28"/>
          <w:szCs w:val="28"/>
        </w:rPr>
      </w:pPr>
      <w:r>
        <w:rPr>
          <w:rFonts w:asciiTheme="minorEastAsia" w:hAnsiTheme="minorEastAsia"/>
          <w:sz w:val="28"/>
          <w:szCs w:val="28"/>
        </w:rPr>
        <w:t>6、</w:t>
      </w:r>
      <w:r>
        <w:rPr>
          <w:rFonts w:hint="eastAsia" w:asciiTheme="minorEastAsia" w:hAnsiTheme="minorEastAsia"/>
          <w:sz w:val="28"/>
          <w:szCs w:val="28"/>
        </w:rPr>
        <w:t>融资租赁企业融资租赁业务收入为</w:t>
      </w:r>
      <w:r>
        <w:rPr>
          <w:rFonts w:asciiTheme="minorEastAsia" w:hAnsiTheme="minorEastAsia"/>
          <w:sz w:val="28"/>
          <w:szCs w:val="28"/>
        </w:rPr>
        <w:t>124.50</w:t>
      </w:r>
      <w:r>
        <w:rPr>
          <w:rFonts w:hint="eastAsia" w:asciiTheme="minorEastAsia" w:hAnsiTheme="minorEastAsia"/>
          <w:sz w:val="28"/>
          <w:szCs w:val="28"/>
        </w:rPr>
        <w:t>亿元，其中内资融资租赁企业</w:t>
      </w:r>
      <w:r>
        <w:rPr>
          <w:rFonts w:asciiTheme="minorEastAsia" w:hAnsiTheme="minorEastAsia"/>
          <w:sz w:val="28"/>
          <w:szCs w:val="28"/>
        </w:rPr>
        <w:t>22.69</w:t>
      </w:r>
      <w:r>
        <w:rPr>
          <w:rFonts w:hint="eastAsia" w:asciiTheme="minorEastAsia" w:hAnsiTheme="minorEastAsia"/>
          <w:sz w:val="28"/>
          <w:szCs w:val="28"/>
        </w:rPr>
        <w:t>亿元，外资融资租赁企业</w:t>
      </w:r>
      <w:r>
        <w:rPr>
          <w:rFonts w:asciiTheme="minorEastAsia" w:hAnsiTheme="minorEastAsia"/>
          <w:sz w:val="28"/>
          <w:szCs w:val="28"/>
        </w:rPr>
        <w:t>101.81</w:t>
      </w:r>
      <w:r>
        <w:rPr>
          <w:rFonts w:hint="eastAsia" w:asciiTheme="minorEastAsia" w:hAnsiTheme="minorEastAsia"/>
          <w:sz w:val="28"/>
          <w:szCs w:val="28"/>
        </w:rPr>
        <w:t>亿元。</w:t>
      </w:r>
    </w:p>
    <w:p>
      <w:pPr>
        <w:ind w:firstLine="560" w:firstLineChars="200"/>
        <w:rPr>
          <w:rFonts w:asciiTheme="minorEastAsia" w:hAnsiTheme="minorEastAsia"/>
          <w:sz w:val="28"/>
          <w:szCs w:val="28"/>
        </w:rPr>
      </w:pPr>
      <w:r>
        <w:rPr>
          <w:rFonts w:asciiTheme="minorEastAsia" w:hAnsiTheme="minorEastAsia"/>
          <w:sz w:val="28"/>
          <w:szCs w:val="28"/>
        </w:rPr>
        <w:t>7、</w:t>
      </w:r>
      <w:r>
        <w:rPr>
          <w:rFonts w:hint="eastAsia" w:asciiTheme="minorEastAsia" w:hAnsiTheme="minorEastAsia"/>
          <w:sz w:val="28"/>
          <w:szCs w:val="28"/>
        </w:rPr>
        <w:t>融资租赁企业税前总利润为</w:t>
      </w:r>
      <w:r>
        <w:rPr>
          <w:rFonts w:asciiTheme="minorEastAsia" w:hAnsiTheme="minorEastAsia"/>
          <w:sz w:val="28"/>
          <w:szCs w:val="28"/>
        </w:rPr>
        <w:t>39.17</w:t>
      </w:r>
      <w:r>
        <w:rPr>
          <w:rFonts w:hint="eastAsia" w:asciiTheme="minorEastAsia" w:hAnsiTheme="minorEastAsia"/>
          <w:sz w:val="28"/>
          <w:szCs w:val="28"/>
        </w:rPr>
        <w:t>亿元，其中内资融资租赁企业</w:t>
      </w:r>
      <w:r>
        <w:rPr>
          <w:rFonts w:asciiTheme="minorEastAsia" w:hAnsiTheme="minorEastAsia"/>
          <w:sz w:val="28"/>
          <w:szCs w:val="28"/>
        </w:rPr>
        <w:t>9.50</w:t>
      </w:r>
      <w:r>
        <w:rPr>
          <w:rFonts w:hint="eastAsia" w:asciiTheme="minorEastAsia" w:hAnsiTheme="minorEastAsia"/>
          <w:sz w:val="28"/>
          <w:szCs w:val="28"/>
        </w:rPr>
        <w:t>亿元，外资融资租赁企业</w:t>
      </w:r>
      <w:r>
        <w:rPr>
          <w:rFonts w:asciiTheme="minorEastAsia" w:hAnsiTheme="minorEastAsia"/>
          <w:sz w:val="28"/>
          <w:szCs w:val="28"/>
        </w:rPr>
        <w:t>29.67</w:t>
      </w:r>
      <w:r>
        <w:rPr>
          <w:rFonts w:hint="eastAsia" w:asciiTheme="minorEastAsia" w:hAnsiTheme="minorEastAsia"/>
          <w:sz w:val="28"/>
          <w:szCs w:val="28"/>
        </w:rPr>
        <w:t>亿元。</w:t>
      </w:r>
    </w:p>
    <w:p>
      <w:pPr>
        <w:ind w:firstLine="560" w:firstLineChars="200"/>
        <w:rPr>
          <w:rFonts w:asciiTheme="minorEastAsia" w:hAnsiTheme="minorEastAsia"/>
          <w:sz w:val="28"/>
          <w:szCs w:val="28"/>
        </w:rPr>
      </w:pPr>
      <w:r>
        <w:rPr>
          <w:rFonts w:asciiTheme="minorEastAsia" w:hAnsiTheme="minorEastAsia"/>
          <w:sz w:val="28"/>
          <w:szCs w:val="28"/>
        </w:rPr>
        <w:t>8、</w:t>
      </w:r>
      <w:r>
        <w:rPr>
          <w:rFonts w:hint="eastAsia" w:asciiTheme="minorEastAsia" w:hAnsiTheme="minorEastAsia"/>
          <w:sz w:val="28"/>
          <w:szCs w:val="28"/>
        </w:rPr>
        <w:t>融资租赁企业缴纳税收为</w:t>
      </w:r>
      <w:r>
        <w:rPr>
          <w:rFonts w:asciiTheme="minorEastAsia" w:hAnsiTheme="minorEastAsia"/>
          <w:sz w:val="28"/>
          <w:szCs w:val="28"/>
        </w:rPr>
        <w:t>16.21</w:t>
      </w:r>
      <w:r>
        <w:rPr>
          <w:rFonts w:hint="eastAsia" w:asciiTheme="minorEastAsia" w:hAnsiTheme="minorEastAsia"/>
          <w:sz w:val="28"/>
          <w:szCs w:val="28"/>
        </w:rPr>
        <w:t>亿元，其中内资融资租赁企业</w:t>
      </w:r>
      <w:r>
        <w:rPr>
          <w:rFonts w:asciiTheme="minorEastAsia" w:hAnsiTheme="minorEastAsia"/>
          <w:sz w:val="28"/>
          <w:szCs w:val="28"/>
        </w:rPr>
        <w:t>3.47</w:t>
      </w:r>
      <w:r>
        <w:rPr>
          <w:rFonts w:hint="eastAsia" w:asciiTheme="minorEastAsia" w:hAnsiTheme="minorEastAsia"/>
          <w:sz w:val="28"/>
          <w:szCs w:val="28"/>
        </w:rPr>
        <w:t>亿元，外资融资租赁企业</w:t>
      </w:r>
      <w:r>
        <w:rPr>
          <w:rFonts w:asciiTheme="minorEastAsia" w:hAnsiTheme="minorEastAsia"/>
          <w:sz w:val="28"/>
          <w:szCs w:val="28"/>
        </w:rPr>
        <w:t>12.74</w:t>
      </w:r>
      <w:r>
        <w:rPr>
          <w:rFonts w:hint="eastAsia" w:asciiTheme="minorEastAsia" w:hAnsiTheme="minorEastAsia"/>
          <w:sz w:val="28"/>
          <w:szCs w:val="28"/>
        </w:rPr>
        <w:t>亿元。</w:t>
      </w:r>
    </w:p>
    <w:p>
      <w:pPr>
        <w:ind w:firstLine="560" w:firstLineChars="200"/>
        <w:rPr>
          <w:rFonts w:asciiTheme="minorEastAsia" w:hAnsiTheme="minorEastAsia"/>
          <w:sz w:val="28"/>
          <w:szCs w:val="28"/>
        </w:rPr>
      </w:pPr>
      <w:r>
        <w:rPr>
          <w:rFonts w:asciiTheme="minorEastAsia" w:hAnsiTheme="minorEastAsia"/>
          <w:sz w:val="28"/>
          <w:szCs w:val="28"/>
        </w:rPr>
        <w:t>9、</w:t>
      </w:r>
      <w:r>
        <w:rPr>
          <w:rFonts w:hint="eastAsia" w:asciiTheme="minorEastAsia" w:hAnsiTheme="minorEastAsia"/>
          <w:sz w:val="28"/>
          <w:szCs w:val="28"/>
        </w:rPr>
        <w:t>融资租赁企业逾期租金为</w:t>
      </w:r>
      <w:r>
        <w:rPr>
          <w:rFonts w:asciiTheme="minorEastAsia" w:hAnsiTheme="minorEastAsia"/>
          <w:sz w:val="28"/>
          <w:szCs w:val="28"/>
        </w:rPr>
        <w:t>63.13</w:t>
      </w:r>
      <w:r>
        <w:rPr>
          <w:rFonts w:hint="eastAsia" w:asciiTheme="minorEastAsia" w:hAnsiTheme="minorEastAsia"/>
          <w:sz w:val="28"/>
          <w:szCs w:val="28"/>
        </w:rPr>
        <w:t>亿元（其中逾期一年以内租金</w:t>
      </w:r>
      <w:r>
        <w:rPr>
          <w:rFonts w:asciiTheme="minorEastAsia" w:hAnsiTheme="minorEastAsia"/>
          <w:sz w:val="28"/>
          <w:szCs w:val="28"/>
        </w:rPr>
        <w:t>21.64</w:t>
      </w:r>
      <w:r>
        <w:rPr>
          <w:rFonts w:hint="eastAsia" w:asciiTheme="minorEastAsia" w:hAnsiTheme="minorEastAsia"/>
          <w:sz w:val="28"/>
          <w:szCs w:val="28"/>
        </w:rPr>
        <w:t>亿元，逾期一年以上租金</w:t>
      </w:r>
      <w:r>
        <w:rPr>
          <w:rFonts w:asciiTheme="minorEastAsia" w:hAnsiTheme="minorEastAsia"/>
          <w:sz w:val="28"/>
          <w:szCs w:val="28"/>
        </w:rPr>
        <w:t>39.80</w:t>
      </w:r>
      <w:r>
        <w:rPr>
          <w:rFonts w:hint="eastAsia" w:asciiTheme="minorEastAsia" w:hAnsiTheme="minorEastAsia"/>
          <w:sz w:val="28"/>
          <w:szCs w:val="28"/>
        </w:rPr>
        <w:t>亿元）；内资融资租赁企业逾期租金为</w:t>
      </w:r>
      <w:r>
        <w:rPr>
          <w:rFonts w:asciiTheme="minorEastAsia" w:hAnsiTheme="minorEastAsia"/>
          <w:sz w:val="28"/>
          <w:szCs w:val="28"/>
        </w:rPr>
        <w:t>29.35</w:t>
      </w:r>
      <w:r>
        <w:rPr>
          <w:rFonts w:hint="eastAsia" w:asciiTheme="minorEastAsia" w:hAnsiTheme="minorEastAsia"/>
          <w:sz w:val="28"/>
          <w:szCs w:val="28"/>
        </w:rPr>
        <w:t>亿元（其中逾期一年以内租金</w:t>
      </w:r>
      <w:r>
        <w:rPr>
          <w:rFonts w:asciiTheme="minorEastAsia" w:hAnsiTheme="minorEastAsia"/>
          <w:sz w:val="28"/>
          <w:szCs w:val="28"/>
        </w:rPr>
        <w:t>6.98 </w:t>
      </w:r>
      <w:r>
        <w:rPr>
          <w:rFonts w:hint="eastAsia" w:asciiTheme="minorEastAsia" w:hAnsiTheme="minorEastAsia"/>
          <w:sz w:val="28"/>
          <w:szCs w:val="28"/>
        </w:rPr>
        <w:t>亿元，逾期一年以上租金</w:t>
      </w:r>
      <w:r>
        <w:rPr>
          <w:rFonts w:asciiTheme="minorEastAsia" w:hAnsiTheme="minorEastAsia"/>
          <w:sz w:val="28"/>
          <w:szCs w:val="28"/>
        </w:rPr>
        <w:t>22.37</w:t>
      </w:r>
      <w:r>
        <w:rPr>
          <w:rFonts w:hint="eastAsia" w:asciiTheme="minorEastAsia" w:hAnsiTheme="minorEastAsia"/>
          <w:sz w:val="28"/>
          <w:szCs w:val="28"/>
        </w:rPr>
        <w:t>亿元）；外资融资租赁企业逾期租金为</w:t>
      </w:r>
      <w:r>
        <w:rPr>
          <w:rFonts w:asciiTheme="minorEastAsia" w:hAnsiTheme="minorEastAsia"/>
          <w:sz w:val="28"/>
          <w:szCs w:val="28"/>
        </w:rPr>
        <w:t>33.78</w:t>
      </w:r>
      <w:r>
        <w:rPr>
          <w:rFonts w:hint="eastAsia" w:asciiTheme="minorEastAsia" w:hAnsiTheme="minorEastAsia"/>
          <w:sz w:val="28"/>
          <w:szCs w:val="28"/>
        </w:rPr>
        <w:t>亿元（其中逾期一年以内租金</w:t>
      </w:r>
      <w:r>
        <w:rPr>
          <w:rFonts w:asciiTheme="minorEastAsia" w:hAnsiTheme="minorEastAsia"/>
          <w:sz w:val="28"/>
          <w:szCs w:val="28"/>
        </w:rPr>
        <w:t>16.34</w:t>
      </w:r>
      <w:r>
        <w:rPr>
          <w:rFonts w:hint="eastAsia" w:asciiTheme="minorEastAsia" w:hAnsiTheme="minorEastAsia"/>
          <w:sz w:val="28"/>
          <w:szCs w:val="28"/>
        </w:rPr>
        <w:t>亿元，逾期一年以上租金</w:t>
      </w:r>
      <w:r>
        <w:rPr>
          <w:rFonts w:asciiTheme="minorEastAsia" w:hAnsiTheme="minorEastAsia"/>
          <w:sz w:val="28"/>
          <w:szCs w:val="28"/>
        </w:rPr>
        <w:t>17.44</w:t>
      </w:r>
      <w:r>
        <w:rPr>
          <w:rFonts w:hint="eastAsia" w:asciiTheme="minorEastAsia" w:hAnsiTheme="minorEastAsia"/>
          <w:sz w:val="28"/>
          <w:szCs w:val="28"/>
        </w:rPr>
        <w:t>亿元）。</w:t>
      </w:r>
    </w:p>
    <w:p>
      <w:pPr>
        <w:ind w:firstLine="560" w:firstLineChars="200"/>
        <w:rPr>
          <w:rFonts w:asciiTheme="minorEastAsia" w:hAnsiTheme="minorEastAsia"/>
          <w:sz w:val="28"/>
          <w:szCs w:val="28"/>
        </w:rPr>
      </w:pPr>
      <w:r>
        <w:rPr>
          <w:rFonts w:asciiTheme="minorEastAsia" w:hAnsiTheme="minorEastAsia"/>
          <w:sz w:val="28"/>
          <w:szCs w:val="28"/>
        </w:rPr>
        <w:t>10、</w:t>
      </w:r>
      <w:r>
        <w:rPr>
          <w:rFonts w:hint="eastAsia" w:asciiTheme="minorEastAsia" w:hAnsiTheme="minorEastAsia"/>
          <w:sz w:val="28"/>
          <w:szCs w:val="28"/>
        </w:rPr>
        <w:t>融资租赁企业资金投放额为</w:t>
      </w:r>
      <w:r>
        <w:rPr>
          <w:rFonts w:asciiTheme="minorEastAsia" w:hAnsiTheme="minorEastAsia"/>
          <w:sz w:val="28"/>
          <w:szCs w:val="28"/>
        </w:rPr>
        <w:t>1172.35</w:t>
      </w:r>
      <w:r>
        <w:rPr>
          <w:rFonts w:hint="eastAsia" w:asciiTheme="minorEastAsia" w:hAnsiTheme="minorEastAsia"/>
          <w:sz w:val="28"/>
          <w:szCs w:val="28"/>
        </w:rPr>
        <w:t>亿元，其中内资融资租赁企业</w:t>
      </w:r>
      <w:r>
        <w:rPr>
          <w:rFonts w:asciiTheme="minorEastAsia" w:hAnsiTheme="minorEastAsia"/>
          <w:sz w:val="28"/>
          <w:szCs w:val="28"/>
        </w:rPr>
        <w:t>156.47</w:t>
      </w:r>
      <w:r>
        <w:rPr>
          <w:rFonts w:hint="eastAsia" w:asciiTheme="minorEastAsia" w:hAnsiTheme="minorEastAsia"/>
          <w:sz w:val="28"/>
          <w:szCs w:val="28"/>
        </w:rPr>
        <w:t>亿元，外资融资租赁企业</w:t>
      </w:r>
      <w:r>
        <w:rPr>
          <w:rFonts w:asciiTheme="minorEastAsia" w:hAnsiTheme="minorEastAsia"/>
          <w:sz w:val="28"/>
          <w:szCs w:val="28"/>
        </w:rPr>
        <w:t>1015.88</w:t>
      </w:r>
      <w:r>
        <w:rPr>
          <w:rFonts w:hint="eastAsia" w:asciiTheme="minorEastAsia" w:hAnsiTheme="minorEastAsia"/>
          <w:sz w:val="28"/>
          <w:szCs w:val="28"/>
        </w:rPr>
        <w:t>亿元。</w:t>
      </w:r>
    </w:p>
    <w:p>
      <w:pPr>
        <w:ind w:firstLine="560" w:firstLineChars="200"/>
        <w:rPr>
          <w:rFonts w:asciiTheme="minorEastAsia" w:hAnsiTheme="minorEastAsia"/>
          <w:sz w:val="28"/>
          <w:szCs w:val="28"/>
        </w:rPr>
      </w:pPr>
      <w:r>
        <w:rPr>
          <w:rFonts w:asciiTheme="minorEastAsia" w:hAnsiTheme="minorEastAsia"/>
          <w:sz w:val="28"/>
          <w:szCs w:val="28"/>
        </w:rPr>
        <w:t>11、</w:t>
      </w:r>
      <w:r>
        <w:rPr>
          <w:rFonts w:hint="eastAsia" w:asciiTheme="minorEastAsia" w:hAnsiTheme="minorEastAsia"/>
          <w:sz w:val="28"/>
          <w:szCs w:val="28"/>
        </w:rPr>
        <w:t>融资租赁企业售后回租资金投放额为</w:t>
      </w:r>
      <w:r>
        <w:rPr>
          <w:rFonts w:asciiTheme="minorEastAsia" w:hAnsiTheme="minorEastAsia"/>
          <w:sz w:val="28"/>
          <w:szCs w:val="28"/>
        </w:rPr>
        <w:t>955.51</w:t>
      </w:r>
      <w:r>
        <w:rPr>
          <w:rFonts w:hint="eastAsia" w:asciiTheme="minorEastAsia" w:hAnsiTheme="minorEastAsia"/>
          <w:sz w:val="28"/>
          <w:szCs w:val="28"/>
        </w:rPr>
        <w:t>亿元，其中内资融资租赁企业</w:t>
      </w:r>
      <w:r>
        <w:rPr>
          <w:rFonts w:asciiTheme="minorEastAsia" w:hAnsiTheme="minorEastAsia"/>
          <w:sz w:val="28"/>
          <w:szCs w:val="28"/>
        </w:rPr>
        <w:t>122.48</w:t>
      </w:r>
      <w:r>
        <w:rPr>
          <w:rFonts w:hint="eastAsia" w:asciiTheme="minorEastAsia" w:hAnsiTheme="minorEastAsia"/>
          <w:sz w:val="28"/>
          <w:szCs w:val="28"/>
        </w:rPr>
        <w:t>亿元，外资融资租赁企业</w:t>
      </w:r>
      <w:r>
        <w:rPr>
          <w:rFonts w:asciiTheme="minorEastAsia" w:hAnsiTheme="minorEastAsia"/>
          <w:sz w:val="28"/>
          <w:szCs w:val="28"/>
        </w:rPr>
        <w:t>833.03</w:t>
      </w:r>
      <w:r>
        <w:rPr>
          <w:rFonts w:hint="eastAsia" w:asciiTheme="minorEastAsia" w:hAnsiTheme="minorEastAsia"/>
          <w:sz w:val="28"/>
          <w:szCs w:val="28"/>
        </w:rPr>
        <w:t>亿元。</w:t>
      </w:r>
    </w:p>
    <w:p>
      <w:pPr>
        <w:ind w:firstLine="560" w:firstLineChars="200"/>
        <w:rPr>
          <w:rFonts w:asciiTheme="minorEastAsia" w:hAnsiTheme="minorEastAsia"/>
          <w:sz w:val="28"/>
          <w:szCs w:val="28"/>
        </w:rPr>
      </w:pPr>
      <w:r>
        <w:rPr>
          <w:rFonts w:asciiTheme="minorEastAsia" w:hAnsiTheme="minorEastAsia"/>
          <w:sz w:val="28"/>
          <w:szCs w:val="28"/>
        </w:rPr>
        <w:t>12、</w:t>
      </w:r>
      <w:r>
        <w:rPr>
          <w:rFonts w:hint="eastAsia" w:asciiTheme="minorEastAsia" w:hAnsiTheme="minorEastAsia"/>
          <w:sz w:val="28"/>
          <w:szCs w:val="28"/>
        </w:rPr>
        <w:t>融资租赁企业直接租赁资金投放额为</w:t>
      </w:r>
      <w:r>
        <w:rPr>
          <w:rFonts w:asciiTheme="minorEastAsia" w:hAnsiTheme="minorEastAsia"/>
          <w:sz w:val="28"/>
          <w:szCs w:val="28"/>
        </w:rPr>
        <w:t>208.40</w:t>
      </w:r>
      <w:r>
        <w:rPr>
          <w:rFonts w:hint="eastAsia" w:asciiTheme="minorEastAsia" w:hAnsiTheme="minorEastAsia"/>
          <w:sz w:val="28"/>
          <w:szCs w:val="28"/>
        </w:rPr>
        <w:t>亿元，其中内资融资租赁企业</w:t>
      </w:r>
      <w:r>
        <w:rPr>
          <w:rFonts w:asciiTheme="minorEastAsia" w:hAnsiTheme="minorEastAsia"/>
          <w:sz w:val="28"/>
          <w:szCs w:val="28"/>
        </w:rPr>
        <w:t>32.59</w:t>
      </w:r>
      <w:r>
        <w:rPr>
          <w:rFonts w:hint="eastAsia" w:asciiTheme="minorEastAsia" w:hAnsiTheme="minorEastAsia"/>
          <w:sz w:val="28"/>
          <w:szCs w:val="28"/>
        </w:rPr>
        <w:t>亿元，外资融资租赁企业</w:t>
      </w:r>
      <w:r>
        <w:rPr>
          <w:rFonts w:asciiTheme="minorEastAsia" w:hAnsiTheme="minorEastAsia"/>
          <w:sz w:val="28"/>
          <w:szCs w:val="28"/>
        </w:rPr>
        <w:t>175.81</w:t>
      </w:r>
      <w:r>
        <w:rPr>
          <w:rFonts w:hint="eastAsia" w:asciiTheme="minorEastAsia" w:hAnsiTheme="minorEastAsia"/>
          <w:sz w:val="28"/>
          <w:szCs w:val="28"/>
        </w:rPr>
        <w:t>亿元。</w:t>
      </w:r>
    </w:p>
    <w:p>
      <w:pPr>
        <w:ind w:firstLine="560" w:firstLineChars="200"/>
        <w:rPr>
          <w:rFonts w:asciiTheme="minorEastAsia" w:hAnsiTheme="minorEastAsia"/>
          <w:sz w:val="28"/>
          <w:szCs w:val="28"/>
        </w:rPr>
      </w:pPr>
    </w:p>
    <w:p>
      <w:pPr>
        <w:ind w:firstLine="562" w:firstLineChars="200"/>
        <w:rPr>
          <w:rFonts w:asciiTheme="minorEastAsia" w:hAnsiTheme="minorEastAsia"/>
          <w:b/>
          <w:sz w:val="28"/>
          <w:szCs w:val="28"/>
        </w:rPr>
      </w:pPr>
      <w:r>
        <w:rPr>
          <w:rFonts w:hint="eastAsia" w:asciiTheme="minorEastAsia" w:hAnsiTheme="minorEastAsia"/>
          <w:b/>
          <w:sz w:val="28"/>
          <w:szCs w:val="28"/>
        </w:rPr>
        <w:t>有关说明</w:t>
      </w:r>
    </w:p>
    <w:p>
      <w:pPr>
        <w:ind w:firstLine="560" w:firstLineChars="200"/>
        <w:rPr>
          <w:rFonts w:asciiTheme="minorEastAsia" w:hAnsiTheme="minorEastAsia"/>
          <w:sz w:val="28"/>
          <w:szCs w:val="28"/>
        </w:rPr>
      </w:pPr>
      <w:r>
        <w:rPr>
          <w:rFonts w:asciiTheme="minorEastAsia" w:hAnsiTheme="minorEastAsia"/>
          <w:sz w:val="28"/>
          <w:szCs w:val="28"/>
        </w:rPr>
        <w:t>1、</w:t>
      </w:r>
      <w:r>
        <w:rPr>
          <w:rFonts w:hint="eastAsia" w:asciiTheme="minorEastAsia" w:hAnsiTheme="minorEastAsia"/>
          <w:sz w:val="28"/>
          <w:szCs w:val="28"/>
        </w:rPr>
        <w:t>以上数据不包含在北京注册的金融租赁公司数据。</w:t>
      </w:r>
    </w:p>
    <w:p>
      <w:pPr>
        <w:ind w:firstLine="560" w:firstLineChars="200"/>
        <w:rPr>
          <w:rFonts w:asciiTheme="minorEastAsia" w:hAnsiTheme="minorEastAsia"/>
          <w:sz w:val="28"/>
          <w:szCs w:val="28"/>
        </w:rPr>
      </w:pPr>
      <w:r>
        <w:rPr>
          <w:rFonts w:asciiTheme="minorEastAsia" w:hAnsiTheme="minorEastAsia"/>
          <w:sz w:val="28"/>
          <w:szCs w:val="28"/>
        </w:rPr>
        <w:t>2、</w:t>
      </w:r>
      <w:r>
        <w:rPr>
          <w:rFonts w:hint="eastAsia" w:asciiTheme="minorEastAsia" w:hAnsiTheme="minorEastAsia"/>
          <w:sz w:val="28"/>
          <w:szCs w:val="28"/>
        </w:rPr>
        <w:t>融资租赁从业人员数仅指注册在北京的融资租赁企业中就业的人员数，不包含京外注册融资租赁企业工作地点在北京的从业人员数。</w:t>
      </w:r>
    </w:p>
    <w:p>
      <w:pPr>
        <w:ind w:firstLine="560" w:firstLineChars="200"/>
        <w:rPr>
          <w:rFonts w:asciiTheme="minorEastAsia" w:hAnsiTheme="minorEastAsia"/>
          <w:sz w:val="28"/>
          <w:szCs w:val="28"/>
        </w:rPr>
      </w:pPr>
      <w:r>
        <w:rPr>
          <w:rFonts w:asciiTheme="minorEastAsia" w:hAnsiTheme="minorEastAsia"/>
          <w:sz w:val="28"/>
          <w:szCs w:val="28"/>
        </w:rPr>
        <w:t>3、</w:t>
      </w:r>
      <w:r>
        <w:rPr>
          <w:rFonts w:hint="eastAsia" w:asciiTheme="minorEastAsia" w:hAnsiTheme="minorEastAsia"/>
          <w:sz w:val="28"/>
          <w:szCs w:val="28"/>
        </w:rPr>
        <w:t>引用或转发本协会发布的融资租赁业发展状况数据者，请注明数据来源。</w:t>
      </w:r>
    </w:p>
    <w:p>
      <w:pPr>
        <w:ind w:firstLine="560" w:firstLineChars="200"/>
        <w:rPr>
          <w:rFonts w:asciiTheme="minorEastAsia" w:hAnsiTheme="minorEastAsia"/>
          <w:sz w:val="28"/>
          <w:szCs w:val="28"/>
        </w:rPr>
      </w:pPr>
      <w:r>
        <w:rPr>
          <w:rFonts w:asciiTheme="minorEastAsia" w:hAnsiTheme="minorEastAsia"/>
          <w:sz w:val="28"/>
          <w:szCs w:val="28"/>
        </w:rPr>
        <w:t>4、</w:t>
      </w:r>
      <w:r>
        <w:rPr>
          <w:rFonts w:hint="eastAsia" w:asciiTheme="minorEastAsia" w:hAnsiTheme="minorEastAsia"/>
          <w:sz w:val="28"/>
          <w:szCs w:val="28"/>
        </w:rPr>
        <w:t>解释权属于北京市租赁行业协会。</w:t>
      </w:r>
    </w:p>
    <w:p>
      <w:pPr>
        <w:ind w:firstLine="560" w:firstLineChars="200"/>
        <w:rPr>
          <w:rFonts w:asciiTheme="minorEastAsia" w:hAnsiTheme="minorEastAsia"/>
          <w:sz w:val="28"/>
          <w:szCs w:val="28"/>
        </w:rPr>
      </w:pPr>
      <w:r>
        <w:rPr>
          <w:rFonts w:asciiTheme="minorEastAsia" w:hAnsiTheme="minorEastAsia"/>
          <w:sz w:val="28"/>
          <w:szCs w:val="28"/>
        </w:rPr>
        <w:t> </w:t>
      </w:r>
    </w:p>
    <w:p>
      <w:pPr>
        <w:ind w:firstLine="560" w:firstLineChars="200"/>
        <w:jc w:val="right"/>
        <w:rPr>
          <w:rFonts w:asciiTheme="minorEastAsia" w:hAnsiTheme="minorEastAsia"/>
          <w:sz w:val="28"/>
          <w:szCs w:val="28"/>
        </w:rPr>
      </w:pPr>
      <w:r>
        <w:rPr>
          <w:rFonts w:asciiTheme="minorEastAsia" w:hAnsiTheme="minorEastAsia"/>
          <w:sz w:val="28"/>
          <w:szCs w:val="28"/>
        </w:rPr>
        <w:t> 北京市租赁行业协会</w:t>
      </w:r>
    </w:p>
    <w:p>
      <w:pPr>
        <w:ind w:firstLine="560" w:firstLineChars="200"/>
        <w:jc w:val="right"/>
        <w:rPr>
          <w:rFonts w:asciiTheme="minorEastAsia" w:hAnsiTheme="minorEastAsia"/>
          <w:sz w:val="28"/>
          <w:szCs w:val="28"/>
        </w:rPr>
      </w:pPr>
      <w:r>
        <w:rPr>
          <w:rFonts w:asciiTheme="minorEastAsia" w:hAnsiTheme="minorEastAsia"/>
          <w:sz w:val="28"/>
          <w:szCs w:val="28"/>
        </w:rPr>
        <w:t>                                      2016</w:t>
      </w:r>
      <w:r>
        <w:rPr>
          <w:rFonts w:hint="eastAsia" w:asciiTheme="minorEastAsia" w:hAnsiTheme="minorEastAsia"/>
          <w:sz w:val="28"/>
          <w:szCs w:val="28"/>
        </w:rPr>
        <w:t>年</w:t>
      </w:r>
      <w:r>
        <w:rPr>
          <w:rFonts w:asciiTheme="minorEastAsia" w:hAnsiTheme="minorEastAsia"/>
          <w:sz w:val="28"/>
          <w:szCs w:val="28"/>
        </w:rPr>
        <w:t>2</w:t>
      </w:r>
      <w:r>
        <w:rPr>
          <w:rFonts w:hint="eastAsia" w:asciiTheme="minorEastAsia" w:hAnsiTheme="minorEastAsia"/>
          <w:sz w:val="28"/>
          <w:szCs w:val="28"/>
        </w:rPr>
        <w:t>月</w:t>
      </w:r>
      <w:r>
        <w:rPr>
          <w:rFonts w:asciiTheme="minorEastAsia" w:hAnsiTheme="minorEastAsia"/>
          <w:sz w:val="28"/>
          <w:szCs w:val="28"/>
        </w:rPr>
        <w:t>19</w:t>
      </w:r>
      <w:r>
        <w:rPr>
          <w:rFonts w:hint="eastAsia" w:asciiTheme="minorEastAsia" w:hAnsiTheme="minorEastAsia"/>
          <w:sz w:val="28"/>
          <w:szCs w:val="28"/>
        </w:rPr>
        <w:t>日</w:t>
      </w:r>
    </w:p>
    <w:p>
      <w:pPr>
        <w:rPr>
          <w:rFonts w:asciiTheme="minorEastAsia" w:hAnsiTheme="minorEastAsia"/>
          <w:sz w:val="28"/>
          <w:szCs w:val="28"/>
        </w:rPr>
      </w:pPr>
    </w:p>
    <w:p>
      <w:pPr>
        <w:rPr>
          <w:rFonts w:asciiTheme="minorEastAsia" w:hAnsiTheme="minorEastAsia"/>
          <w:sz w:val="28"/>
          <w:szCs w:val="28"/>
        </w:rPr>
      </w:pPr>
    </w:p>
    <w:p>
      <w:pPr>
        <w:pStyle w:val="3"/>
        <w:jc w:val="center"/>
        <w:rPr>
          <w:rStyle w:val="14"/>
          <w:rFonts w:asciiTheme="minorEastAsia" w:hAnsiTheme="minorEastAsia" w:eastAsiaTheme="minorEastAsia"/>
          <w:b/>
          <w:bCs w:val="0"/>
          <w:color w:val="3E3E3E"/>
          <w:shd w:val="clear" w:color="auto" w:fill="FFFFFF"/>
        </w:rPr>
      </w:pPr>
      <w:bookmarkStart w:id="28" w:name="_Toc446324676"/>
      <w:bookmarkStart w:id="29" w:name="_Toc446322473"/>
      <w:bookmarkStart w:id="30" w:name="_Toc446330718"/>
      <w:bookmarkStart w:id="31" w:name="_Toc446326746"/>
      <w:bookmarkStart w:id="32" w:name="_Toc446330615"/>
      <w:r>
        <w:rPr>
          <w:rStyle w:val="14"/>
          <w:rFonts w:asciiTheme="minorEastAsia" w:hAnsiTheme="minorEastAsia" w:eastAsiaTheme="minorEastAsia"/>
          <w:b/>
          <w:bCs w:val="0"/>
          <w:color w:val="3E3E3E"/>
          <w:shd w:val="clear" w:color="auto" w:fill="FFFFFF"/>
        </w:rPr>
        <w:t>2016年首批融资租赁从业人员获得专业证书</w:t>
      </w:r>
      <w:bookmarkEnd w:id="28"/>
      <w:bookmarkEnd w:id="29"/>
      <w:bookmarkEnd w:id="30"/>
      <w:bookmarkEnd w:id="31"/>
      <w:bookmarkEnd w:id="32"/>
    </w:p>
    <w:p>
      <w:pP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北京市租赁行业协会</w:t>
      </w:r>
      <w:r>
        <w:rPr>
          <w:rFonts w:asciiTheme="minorEastAsia" w:hAnsiTheme="minorEastAsia"/>
          <w:sz w:val="28"/>
          <w:szCs w:val="28"/>
        </w:rPr>
        <w:t>2016</w:t>
      </w:r>
      <w:r>
        <w:rPr>
          <w:rFonts w:hint="eastAsia" w:asciiTheme="minorEastAsia" w:hAnsiTheme="minorEastAsia"/>
          <w:sz w:val="28"/>
          <w:szCs w:val="28"/>
        </w:rPr>
        <w:t>年</w:t>
      </w:r>
      <w:r>
        <w:rPr>
          <w:rFonts w:asciiTheme="minorEastAsia" w:hAnsiTheme="minorEastAsia"/>
          <w:sz w:val="28"/>
          <w:szCs w:val="28"/>
        </w:rPr>
        <w:t>3</w:t>
      </w:r>
      <w:r>
        <w:rPr>
          <w:rFonts w:hint="eastAsia" w:asciiTheme="minorEastAsia" w:hAnsiTheme="minorEastAsia"/>
          <w:sz w:val="28"/>
          <w:szCs w:val="28"/>
        </w:rPr>
        <w:t>月</w:t>
      </w:r>
      <w:r>
        <w:rPr>
          <w:rFonts w:asciiTheme="minorEastAsia" w:hAnsiTheme="minorEastAsia"/>
          <w:sz w:val="28"/>
          <w:szCs w:val="28"/>
        </w:rPr>
        <w:t>10</w:t>
      </w:r>
      <w:r>
        <w:rPr>
          <w:rFonts w:hint="eastAsia" w:asciiTheme="minorEastAsia" w:hAnsiTheme="minorEastAsia"/>
          <w:sz w:val="28"/>
          <w:szCs w:val="28"/>
        </w:rPr>
        <w:t>日在北京举办了第四期“非盈利融资租赁从业人员专业培训”活动。参加此次活动的融资租赁从业人员近</w:t>
      </w:r>
      <w:r>
        <w:rPr>
          <w:rFonts w:asciiTheme="minorEastAsia" w:hAnsiTheme="minorEastAsia"/>
          <w:sz w:val="28"/>
          <w:szCs w:val="28"/>
        </w:rPr>
        <w:t>100</w:t>
      </w:r>
      <w:r>
        <w:rPr>
          <w:rFonts w:hint="eastAsia" w:asciiTheme="minorEastAsia" w:hAnsiTheme="minorEastAsia"/>
          <w:sz w:val="28"/>
          <w:szCs w:val="28"/>
        </w:rPr>
        <w:t>人。</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由于该培训活动结合业务、注重实操、理论联系实际，请有融资租赁实操经验的专家型行业领导及来自成功的融资租赁企业的高管担任培训师资，解决的都是融资租赁企业经营中经常遇到的各种急需解决的问题，因此，该系类培训一经推出便受到了业界的普遍欢迎，参加培训的人数从第一期的</w:t>
      </w:r>
      <w:r>
        <w:rPr>
          <w:rFonts w:asciiTheme="minorEastAsia" w:hAnsiTheme="minorEastAsia"/>
          <w:sz w:val="28"/>
          <w:szCs w:val="28"/>
        </w:rPr>
        <w:t>60</w:t>
      </w:r>
      <w:r>
        <w:rPr>
          <w:rFonts w:hint="eastAsia" w:asciiTheme="minorEastAsia" w:hAnsiTheme="minorEastAsia"/>
          <w:sz w:val="28"/>
          <w:szCs w:val="28"/>
        </w:rPr>
        <w:t>多人逐步增多到现在的近百人，而且仍然保持着增长势头。</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担任此次培训的讲师有北京市租赁行业协会张巨光会长和丰汇租赁有限公司宋丽娜高级副总裁，他们分别从融资租赁风险防范、非法集资的识别和防范以及企业资产证券化等方面进行了详细阐述。</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培训期间，张巨光会长还向</w:t>
      </w:r>
      <w:r>
        <w:rPr>
          <w:rFonts w:asciiTheme="minorEastAsia" w:hAnsiTheme="minorEastAsia"/>
          <w:sz w:val="28"/>
          <w:szCs w:val="28"/>
        </w:rPr>
        <w:t>22</w:t>
      </w:r>
      <w:r>
        <w:rPr>
          <w:rFonts w:hint="eastAsia" w:asciiTheme="minorEastAsia" w:hAnsiTheme="minorEastAsia"/>
          <w:sz w:val="28"/>
          <w:szCs w:val="28"/>
        </w:rPr>
        <w:t>名人员颁发了“融资租赁从业人员专业证书”。这些获证人员都是参加完四期该系列培训，经确认达到培训目标后，由北京市租赁行业协会颁发证书的。获证书人员的名单将在北京市租赁行业协会官方网站和官方微信上向社会公布，供融资租赁企业用人时参考。</w:t>
      </w:r>
    </w:p>
    <w:p>
      <w:pPr>
        <w:spacing w:line="360" w:lineRule="auto"/>
        <w:ind w:firstLine="560" w:firstLineChars="200"/>
        <w:rPr>
          <w:rFonts w:asciiTheme="minorEastAsia" w:hAnsiTheme="minorEastAsia"/>
          <w:sz w:val="28"/>
          <w:szCs w:val="28"/>
        </w:rPr>
      </w:pPr>
    </w:p>
    <w:p>
      <w:pPr>
        <w:spacing w:line="360" w:lineRule="auto"/>
        <w:ind w:firstLine="560" w:firstLineChars="200"/>
        <w:rPr>
          <w:rFonts w:hint="eastAsia" w:asciiTheme="minorEastAsia" w:hAnsiTheme="minorEastAsia"/>
          <w:sz w:val="28"/>
          <w:szCs w:val="28"/>
        </w:rPr>
      </w:pPr>
    </w:p>
    <w:p>
      <w:pPr>
        <w:spacing w:line="360" w:lineRule="auto"/>
        <w:ind w:firstLine="560" w:firstLineChars="200"/>
        <w:rPr>
          <w:rFonts w:hint="eastAsia" w:asciiTheme="minorEastAsia" w:hAnsiTheme="minorEastAsia"/>
          <w:sz w:val="28"/>
          <w:szCs w:val="28"/>
        </w:rPr>
      </w:pPr>
    </w:p>
    <w:p>
      <w:pPr>
        <w:pStyle w:val="3"/>
        <w:jc w:val="center"/>
        <w:rPr>
          <w:rFonts w:hint="eastAsia"/>
        </w:rPr>
      </w:pPr>
      <w:bookmarkStart w:id="33" w:name="_Toc446324677"/>
      <w:bookmarkStart w:id="34" w:name="_Toc446326747"/>
      <w:bookmarkStart w:id="35" w:name="_Toc446322474"/>
      <w:bookmarkStart w:id="36" w:name="_Toc446330719"/>
      <w:bookmarkStart w:id="37" w:name="_Toc446330616"/>
      <w:r>
        <w:rPr>
          <w:rStyle w:val="14"/>
          <w:rFonts w:hint="eastAsia"/>
          <w:b/>
          <w:bCs/>
          <w:szCs w:val="29"/>
        </w:rPr>
        <w:t>北京市租赁行业协会</w:t>
      </w:r>
      <w:r>
        <w:rPr>
          <w:rStyle w:val="14"/>
          <w:b/>
          <w:bCs/>
          <w:szCs w:val="29"/>
        </w:rPr>
        <w:t>严正声明</w:t>
      </w:r>
      <w:bookmarkEnd w:id="33"/>
      <w:bookmarkEnd w:id="34"/>
      <w:bookmarkEnd w:id="35"/>
      <w:r>
        <w:drawing>
          <wp:anchor distT="0" distB="0" distL="114300" distR="114300" simplePos="0" relativeHeight="251662336" behindDoc="0" locked="0" layoutInCell="1" allowOverlap="1">
            <wp:simplePos x="0" y="0"/>
            <wp:positionH relativeFrom="column">
              <wp:posOffset>-257175</wp:posOffset>
            </wp:positionH>
            <wp:positionV relativeFrom="paragraph">
              <wp:posOffset>803275</wp:posOffset>
            </wp:positionV>
            <wp:extent cx="5600700" cy="8029575"/>
            <wp:effectExtent l="19050" t="0" r="0" b="0"/>
            <wp:wrapSquare wrapText="bothSides"/>
            <wp:docPr id="30" name="图片 29" descr="640.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9" descr="640.webp.jpg"/>
                    <pic:cNvPicPr>
                      <a:picLocks noChangeAspect="1"/>
                    </pic:cNvPicPr>
                  </pic:nvPicPr>
                  <pic:blipFill>
                    <a:blip r:embed="rId14"/>
                    <a:stretch>
                      <a:fillRect/>
                    </a:stretch>
                  </pic:blipFill>
                  <pic:spPr>
                    <a:xfrm>
                      <a:off x="0" y="0"/>
                      <a:ext cx="5600700" cy="8029575"/>
                    </a:xfrm>
                    <a:prstGeom prst="rect">
                      <a:avLst/>
                    </a:prstGeom>
                  </pic:spPr>
                </pic:pic>
              </a:graphicData>
            </a:graphic>
          </wp:anchor>
        </w:drawing>
      </w:r>
      <w:bookmarkEnd w:id="36"/>
      <w:bookmarkEnd w:id="37"/>
      <w:bookmarkStart w:id="38" w:name="_Toc446326748"/>
      <w:bookmarkStart w:id="39" w:name="_Toc446322475"/>
      <w:bookmarkStart w:id="40" w:name="_Toc446324678"/>
    </w:p>
    <w:p>
      <w:pPr>
        <w:pStyle w:val="2"/>
      </w:pPr>
      <w:bookmarkStart w:id="41" w:name="_Toc446330720"/>
      <w:bookmarkStart w:id="42" w:name="_Toc446330617"/>
      <w:r>
        <w:rPr>
          <w:rFonts w:hint="eastAsia"/>
        </w:rPr>
        <w:t>会员动态</w:t>
      </w:r>
      <w:bookmarkEnd w:id="38"/>
      <w:bookmarkEnd w:id="39"/>
      <w:bookmarkEnd w:id="40"/>
      <w:bookmarkEnd w:id="41"/>
      <w:bookmarkEnd w:id="42"/>
    </w:p>
    <w:p>
      <w:pPr>
        <w:pStyle w:val="3"/>
        <w:jc w:val="center"/>
      </w:pPr>
      <w:bookmarkStart w:id="43" w:name="_Toc446322476"/>
      <w:bookmarkStart w:id="44" w:name="_Toc446326749"/>
      <w:bookmarkStart w:id="45" w:name="_Toc446330618"/>
      <w:bookmarkStart w:id="46" w:name="_Toc446330721"/>
      <w:bookmarkStart w:id="47" w:name="_Toc446324679"/>
      <w:r>
        <w:t>节能减排中心与北京恒嘉租赁建立战略合作关系</w:t>
      </w:r>
      <w:bookmarkEnd w:id="43"/>
      <w:bookmarkEnd w:id="44"/>
      <w:bookmarkEnd w:id="45"/>
      <w:bookmarkEnd w:id="46"/>
      <w:bookmarkEnd w:id="47"/>
    </w:p>
    <w:p>
      <w:pPr>
        <w:spacing w:line="480" w:lineRule="exact"/>
        <w:ind w:firstLine="560" w:firstLineChars="200"/>
        <w:jc w:val="left"/>
        <w:rPr>
          <w:rFonts w:asciiTheme="minorEastAsia" w:hAnsiTheme="minorEastAsia"/>
          <w:sz w:val="28"/>
          <w:szCs w:val="28"/>
        </w:rPr>
      </w:pPr>
      <w:r>
        <w:rPr>
          <w:rFonts w:hint="eastAsia" w:asciiTheme="minorEastAsia" w:hAnsiTheme="minorEastAsia"/>
          <w:sz w:val="28"/>
          <w:szCs w:val="28"/>
        </w:rPr>
        <w:t>3月4日下午，节能减排中心王凡主任一行访问了北京恒嘉国际融资租赁公司，就双方合作事宜进行了商谈。恒嘉董事长乔卫兵、副总经理李鹏、总裁助理石翀，节能减排中心王凡、徐美娟、李俊峰等参加了商谈。</w:t>
      </w:r>
    </w:p>
    <w:p>
      <w:pPr>
        <w:spacing w:line="480" w:lineRule="exact"/>
        <w:ind w:firstLine="560" w:firstLineChars="200"/>
        <w:jc w:val="left"/>
        <w:rPr>
          <w:rFonts w:asciiTheme="minorEastAsia" w:hAnsiTheme="minorEastAsia"/>
          <w:sz w:val="28"/>
          <w:szCs w:val="28"/>
        </w:rPr>
      </w:pPr>
      <w:r>
        <w:rPr>
          <w:rFonts w:hint="eastAsia" w:asciiTheme="minorEastAsia" w:hAnsiTheme="minorEastAsia"/>
          <w:sz w:val="28"/>
          <w:szCs w:val="28"/>
        </w:rPr>
        <w:t>双方分别介绍了机构的基本情况，业务范围和工作进展情况。</w:t>
      </w:r>
    </w:p>
    <w:p>
      <w:pPr>
        <w:spacing w:line="480" w:lineRule="exact"/>
        <w:ind w:firstLine="560" w:firstLineChars="200"/>
        <w:jc w:val="left"/>
        <w:rPr>
          <w:rFonts w:asciiTheme="minorEastAsia" w:hAnsiTheme="minorEastAsia"/>
          <w:sz w:val="28"/>
          <w:szCs w:val="28"/>
        </w:rPr>
      </w:pPr>
      <w:r>
        <w:rPr>
          <w:rFonts w:hint="eastAsia" w:asciiTheme="minorEastAsia" w:hAnsiTheme="minorEastAsia"/>
          <w:sz w:val="28"/>
          <w:szCs w:val="28"/>
        </w:rPr>
        <w:t>经过商谈，双方一致同意建立战略合作伙伴关系。合作的范围包括：</w:t>
      </w:r>
    </w:p>
    <w:p>
      <w:pPr>
        <w:spacing w:line="480" w:lineRule="exact"/>
        <w:ind w:firstLine="560" w:firstLineChars="200"/>
        <w:jc w:val="left"/>
        <w:rPr>
          <w:rFonts w:asciiTheme="minorEastAsia" w:hAnsiTheme="minorEastAsia"/>
          <w:sz w:val="28"/>
          <w:szCs w:val="28"/>
        </w:rPr>
      </w:pPr>
      <w:r>
        <w:rPr>
          <w:rFonts w:hint="eastAsia" w:asciiTheme="minorEastAsia" w:hAnsiTheme="minorEastAsia"/>
          <w:sz w:val="28"/>
          <w:szCs w:val="28"/>
        </w:rPr>
        <w:t>１、北京恒嘉融资租赁公司作为中国能源研究会节能减排中心的支持单位；</w:t>
      </w:r>
    </w:p>
    <w:p>
      <w:pPr>
        <w:spacing w:line="480" w:lineRule="exact"/>
        <w:ind w:firstLine="560" w:firstLineChars="200"/>
        <w:jc w:val="left"/>
        <w:rPr>
          <w:rFonts w:asciiTheme="minorEastAsia" w:hAnsiTheme="minorEastAsia"/>
          <w:sz w:val="28"/>
          <w:szCs w:val="28"/>
        </w:rPr>
      </w:pPr>
      <w:r>
        <w:rPr>
          <w:rFonts w:hint="eastAsia" w:asciiTheme="minorEastAsia" w:hAnsiTheme="minorEastAsia"/>
          <w:sz w:val="28"/>
          <w:szCs w:val="28"/>
        </w:rPr>
        <w:t>２、节能减排中心成为恒嘉租赁公司的咨询机构，为能源和节能减排领域的技术、项目提供咨询服务；</w:t>
      </w:r>
    </w:p>
    <w:p>
      <w:pPr>
        <w:spacing w:line="480" w:lineRule="exact"/>
        <w:ind w:firstLine="560" w:firstLineChars="200"/>
        <w:jc w:val="left"/>
        <w:rPr>
          <w:rFonts w:asciiTheme="minorEastAsia" w:hAnsiTheme="minorEastAsia"/>
          <w:sz w:val="28"/>
          <w:szCs w:val="28"/>
        </w:rPr>
      </w:pPr>
      <w:r>
        <w:rPr>
          <w:rFonts w:hint="eastAsia" w:asciiTheme="minorEastAsia" w:hAnsiTheme="minorEastAsia"/>
          <w:sz w:val="28"/>
          <w:szCs w:val="28"/>
        </w:rPr>
        <w:t>３、北京恒嘉融资租赁公司通过融资、租赁、投资参股等形式，帮助节能减排中心会员企业（单位）开发、推广节能减排创新技术和项目；</w:t>
      </w:r>
    </w:p>
    <w:p>
      <w:pPr>
        <w:spacing w:line="480" w:lineRule="exact"/>
        <w:ind w:firstLine="560" w:firstLineChars="200"/>
        <w:jc w:val="left"/>
        <w:rPr>
          <w:rFonts w:asciiTheme="minorEastAsia" w:hAnsiTheme="minorEastAsia"/>
          <w:sz w:val="28"/>
          <w:szCs w:val="28"/>
        </w:rPr>
      </w:pPr>
      <w:r>
        <w:rPr>
          <w:rFonts w:hint="eastAsia" w:asciiTheme="minorEastAsia" w:hAnsiTheme="minorEastAsia"/>
          <w:sz w:val="28"/>
          <w:szCs w:val="28"/>
        </w:rPr>
        <w:t>4、开始筹备设立节能减排基金。</w:t>
      </w:r>
    </w:p>
    <w:p>
      <w:pPr>
        <w:spacing w:line="480" w:lineRule="exact"/>
        <w:ind w:firstLine="560" w:firstLineChars="200"/>
        <w:jc w:val="left"/>
        <w:rPr>
          <w:rFonts w:asciiTheme="minorEastAsia" w:hAnsiTheme="minorEastAsia"/>
          <w:sz w:val="28"/>
          <w:szCs w:val="28"/>
        </w:rPr>
      </w:pPr>
      <w:r>
        <w:rPr>
          <w:rFonts w:hint="eastAsia" w:asciiTheme="minorEastAsia" w:hAnsiTheme="minorEastAsia"/>
          <w:sz w:val="28"/>
          <w:szCs w:val="28"/>
        </w:rPr>
        <w:t>双方还就“洁净煤工业锅炉清洁生产示范工程”有关技术进行了交流，就商务模式等进行了探讨。</w:t>
      </w:r>
    </w:p>
    <w:p>
      <w:pPr>
        <w:spacing w:line="480" w:lineRule="exact"/>
        <w:ind w:firstLine="560" w:firstLineChars="200"/>
        <w:jc w:val="left"/>
        <w:rPr>
          <w:rFonts w:asciiTheme="minorEastAsia" w:hAnsiTheme="minorEastAsia"/>
          <w:sz w:val="28"/>
          <w:szCs w:val="28"/>
        </w:rPr>
      </w:pPr>
      <w:r>
        <w:rPr>
          <w:rFonts w:hint="eastAsia" w:asciiTheme="minorEastAsia" w:hAnsiTheme="minorEastAsia"/>
          <w:sz w:val="28"/>
          <w:szCs w:val="28"/>
        </w:rPr>
        <w:t>双方表示要加强合作，共同为能源事业，为煤炭清洁利用，为节能减排事业作出贡献。</w:t>
      </w:r>
    </w:p>
    <w:p>
      <w:pPr>
        <w:spacing w:line="480" w:lineRule="exact"/>
        <w:ind w:firstLine="560" w:firstLineChars="200"/>
        <w:jc w:val="left"/>
        <w:rPr>
          <w:rFonts w:asciiTheme="minorEastAsia" w:hAnsiTheme="minorEastAsia"/>
          <w:sz w:val="28"/>
          <w:szCs w:val="28"/>
        </w:rPr>
      </w:pPr>
      <w:r>
        <w:rPr>
          <w:rFonts w:hint="eastAsia" w:asciiTheme="minorEastAsia" w:hAnsiTheme="minorEastAsia"/>
          <w:sz w:val="28"/>
          <w:szCs w:val="28"/>
        </w:rPr>
        <w:t>3月10日，中国能源研究会节能减排中心与北京恒嘉国际融资租赁有限公司，已经完成战略合作框架意向书文本，协议书将择日签署。</w:t>
      </w:r>
    </w:p>
    <w:p>
      <w:pPr>
        <w:spacing w:line="480" w:lineRule="exact"/>
        <w:ind w:firstLine="560" w:firstLineChars="200"/>
        <w:jc w:val="left"/>
        <w:rPr>
          <w:rFonts w:asciiTheme="minorEastAsia" w:hAnsiTheme="minorEastAsia"/>
          <w:sz w:val="28"/>
          <w:szCs w:val="28"/>
        </w:rPr>
      </w:pPr>
    </w:p>
    <w:p>
      <w:pPr>
        <w:spacing w:line="480" w:lineRule="exact"/>
        <w:jc w:val="right"/>
        <w:rPr>
          <w:rFonts w:asciiTheme="minorEastAsia" w:hAnsiTheme="minorEastAsia"/>
          <w:b/>
          <w:szCs w:val="21"/>
        </w:rPr>
      </w:pPr>
      <w:r>
        <w:rPr>
          <w:rFonts w:hint="eastAsia" w:asciiTheme="minorEastAsia" w:hAnsiTheme="minorEastAsia"/>
          <w:b/>
          <w:szCs w:val="21"/>
        </w:rPr>
        <w:t>转自：中国能源研究会节能减排中心</w:t>
      </w:r>
    </w:p>
    <w:p>
      <w:pPr>
        <w:pStyle w:val="3"/>
        <w:jc w:val="center"/>
      </w:pPr>
      <w:bookmarkStart w:id="48" w:name="_Toc446330619"/>
      <w:bookmarkStart w:id="49" w:name="_Toc446326750"/>
      <w:bookmarkStart w:id="50" w:name="_Toc446324680"/>
      <w:bookmarkStart w:id="51" w:name="_Toc446330722"/>
      <w:bookmarkStart w:id="52" w:name="_Toc446322477"/>
      <w:r>
        <w:t>中联重科要约收购行业巨头特雷克斯 有望实现业务全球覆盖</w:t>
      </w:r>
      <w:bookmarkEnd w:id="48"/>
      <w:bookmarkEnd w:id="49"/>
      <w:bookmarkEnd w:id="50"/>
      <w:bookmarkEnd w:id="51"/>
      <w:bookmarkEnd w:id="52"/>
    </w:p>
    <w:p>
      <w:pPr>
        <w:spacing w:line="360" w:lineRule="exact"/>
        <w:ind w:firstLine="560" w:firstLineChars="200"/>
        <w:rPr>
          <w:rFonts w:asciiTheme="minorEastAsia" w:hAnsiTheme="minorEastAsia"/>
          <w:sz w:val="28"/>
          <w:szCs w:val="28"/>
        </w:rPr>
      </w:pPr>
      <w:r>
        <w:rPr>
          <w:rFonts w:asciiTheme="minorEastAsia" w:hAnsiTheme="minorEastAsia"/>
          <w:sz w:val="28"/>
          <w:szCs w:val="28"/>
        </w:rPr>
        <w:t>中新网长沙1月27日电(记者 刘双双)1月27日，总部位于长沙的中联重科股份有限公司对外确认，在过去数月中，就一项潜在的交易与工程机械行业巨头特雷克斯(TerexCorporation)进行了讨论，并向其董事会提交了收购特雷克斯全部已发行股份的无约束力报价。目前该项交易的讨论正在进行中，中联重科将继续积极推进。</w:t>
      </w:r>
    </w:p>
    <w:p>
      <w:pPr>
        <w:spacing w:line="360" w:lineRule="exact"/>
        <w:ind w:firstLine="560" w:firstLineChars="200"/>
        <w:rPr>
          <w:rFonts w:asciiTheme="minorEastAsia" w:hAnsiTheme="minorEastAsia"/>
          <w:sz w:val="28"/>
          <w:szCs w:val="28"/>
        </w:rPr>
      </w:pPr>
      <w:r>
        <w:rPr>
          <w:rFonts w:asciiTheme="minorEastAsia" w:hAnsiTheme="minorEastAsia"/>
          <w:sz w:val="28"/>
          <w:szCs w:val="28"/>
        </w:rPr>
        <w:t>如此次交易能够完成，中联重科收入、利润和资产将大幅提升。2014年，特雷克斯销售收入73亿美元(约合447亿元人民币)，在全球工程机械行业中排名第五位。中联重科当年的销售收入259亿元人民币，双方销售收入合计已超过700亿人民币。</w:t>
      </w:r>
    </w:p>
    <w:p>
      <w:pPr>
        <w:spacing w:line="360" w:lineRule="exact"/>
        <w:ind w:firstLine="560" w:firstLineChars="200"/>
        <w:rPr>
          <w:rFonts w:asciiTheme="minorEastAsia" w:hAnsiTheme="minorEastAsia"/>
          <w:sz w:val="28"/>
          <w:szCs w:val="28"/>
        </w:rPr>
      </w:pPr>
      <w:r>
        <w:rPr>
          <w:rFonts w:asciiTheme="minorEastAsia" w:hAnsiTheme="minorEastAsia"/>
          <w:sz w:val="28"/>
          <w:szCs w:val="28"/>
        </w:rPr>
        <w:t>公开信息显示，2014年中联重科业务85%集中在中国，特雷克斯业务72%集中在西欧和北美。如交易能够完成，中联重科的业务将实现全球市场全覆盖，成为一家业务全球化的国际公司。同时，将极大地丰富中联重科的产业链，并因此进入高空作业平台、工业起重机和港口机械、物料处理机械等3个全球领先的业务领域，获利与抗风险能力将得到显著提升。</w:t>
      </w:r>
    </w:p>
    <w:p>
      <w:pPr>
        <w:spacing w:line="360" w:lineRule="exact"/>
        <w:ind w:firstLine="560" w:firstLineChars="200"/>
        <w:rPr>
          <w:rFonts w:asciiTheme="minorEastAsia" w:hAnsiTheme="minorEastAsia"/>
          <w:sz w:val="28"/>
          <w:szCs w:val="28"/>
        </w:rPr>
      </w:pPr>
      <w:r>
        <w:rPr>
          <w:rFonts w:asciiTheme="minorEastAsia" w:hAnsiTheme="minorEastAsia"/>
          <w:sz w:val="28"/>
          <w:szCs w:val="28"/>
        </w:rPr>
        <w:t>众所周知，2012年以来中国工程机械行业越过“黄金二十年”顶峰进入深度调整期。中国工程机械优势产能通过借力多种形式的国际大协作形成互利共赢。特雷克斯在全球主要市场深耕多年，拥有完善的产业基地和市场渠道。可以预料，中联重科并购特雷克斯后，双方能在产能资源、供应链资源和渠道资源形成国际化的大协同。</w:t>
      </w:r>
    </w:p>
    <w:p>
      <w:pPr>
        <w:spacing w:line="360" w:lineRule="exact"/>
        <w:ind w:firstLine="560" w:firstLineChars="200"/>
        <w:rPr>
          <w:rFonts w:asciiTheme="minorEastAsia" w:hAnsiTheme="minorEastAsia"/>
          <w:sz w:val="28"/>
          <w:szCs w:val="28"/>
        </w:rPr>
      </w:pPr>
      <w:r>
        <w:rPr>
          <w:rFonts w:asciiTheme="minorEastAsia" w:hAnsiTheme="minorEastAsia"/>
          <w:sz w:val="28"/>
          <w:szCs w:val="28"/>
        </w:rPr>
        <w:t>此次交易或将是国家发布《关于推进国际产能和装备制造合作的指导意见》以来，在相关重点行业中发生的首例大规模海外并购，是中联重科国际化战略的重大举措。</w:t>
      </w:r>
    </w:p>
    <w:p>
      <w:pPr>
        <w:spacing w:line="360" w:lineRule="exact"/>
        <w:ind w:firstLine="560" w:firstLineChars="200"/>
        <w:rPr>
          <w:rFonts w:asciiTheme="minorEastAsia" w:hAnsiTheme="minorEastAsia"/>
          <w:sz w:val="28"/>
          <w:szCs w:val="28"/>
        </w:rPr>
      </w:pPr>
      <w:r>
        <w:rPr>
          <w:rFonts w:asciiTheme="minorEastAsia" w:hAnsiTheme="minorEastAsia"/>
          <w:sz w:val="28"/>
          <w:szCs w:val="28"/>
        </w:rPr>
        <w:t>目前，中联重科战略转型已逐步落地。通过产融结合，金融服务板块对工程机械、农业机械和环境产业三大实体板块的发展开始发挥重要作用。</w:t>
      </w:r>
    </w:p>
    <w:p>
      <w:pPr>
        <w:spacing w:line="360" w:lineRule="exact"/>
        <w:ind w:firstLine="560" w:firstLineChars="200"/>
        <w:rPr>
          <w:rFonts w:asciiTheme="minorEastAsia" w:hAnsiTheme="minorEastAsia"/>
          <w:sz w:val="28"/>
          <w:szCs w:val="28"/>
        </w:rPr>
      </w:pPr>
      <w:r>
        <w:rPr>
          <w:rFonts w:asciiTheme="minorEastAsia" w:hAnsiTheme="minorEastAsia"/>
          <w:sz w:val="28"/>
          <w:szCs w:val="28"/>
        </w:rPr>
        <w:t>公开资料显示，中联重科持有充裕的现金，拥有畅通的融资渠道，能为交易提供充分保障。记者了解到，中联重科目前的资产负债率约为58%，处于行业较低水平。</w:t>
      </w:r>
    </w:p>
    <w:p>
      <w:pPr>
        <w:spacing w:line="360" w:lineRule="exact"/>
        <w:ind w:firstLine="560" w:firstLineChars="200"/>
        <w:rPr>
          <w:rFonts w:asciiTheme="minorEastAsia" w:hAnsiTheme="minorEastAsia"/>
          <w:sz w:val="28"/>
          <w:szCs w:val="28"/>
        </w:rPr>
      </w:pPr>
      <w:r>
        <w:rPr>
          <w:rFonts w:asciiTheme="minorEastAsia" w:hAnsiTheme="minorEastAsia"/>
          <w:sz w:val="28"/>
          <w:szCs w:val="28"/>
        </w:rPr>
        <w:t>中联重科公告称，目前该项目已经获取了国家相关部门的确认函，也获得了有关金融机构的融资支持确定函，公司将继续积极推进该项交易。</w:t>
      </w:r>
    </w:p>
    <w:p>
      <w:pPr>
        <w:jc w:val="left"/>
        <w:rPr>
          <w:b/>
        </w:rPr>
      </w:pPr>
      <w:r>
        <w:rPr>
          <w:b/>
        </w:rPr>
        <w:t>转自：中新网 </w:t>
      </w:r>
    </w:p>
    <w:p>
      <w:pPr>
        <w:pStyle w:val="3"/>
        <w:jc w:val="center"/>
      </w:pPr>
      <w:bookmarkStart w:id="53" w:name="_Toc446324681"/>
      <w:bookmarkStart w:id="54" w:name="_Toc446330723"/>
      <w:bookmarkStart w:id="55" w:name="_Toc446330620"/>
      <w:bookmarkStart w:id="56" w:name="_Toc446326751"/>
      <w:bookmarkStart w:id="57" w:name="_Toc446322478"/>
      <w:r>
        <w:rPr>
          <w:rFonts w:hint="eastAsia"/>
        </w:rPr>
        <w:t>反腐，</w:t>
      </w:r>
      <w:r>
        <w:t>民营企业不能置身事外</w:t>
      </w:r>
      <w:bookmarkEnd w:id="53"/>
      <w:bookmarkEnd w:id="54"/>
      <w:bookmarkEnd w:id="55"/>
      <w:bookmarkEnd w:id="56"/>
      <w:bookmarkEnd w:id="57"/>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最近，英国《金融时报》报道，中国纪检调查人员的注意力可能转向民企。报道震动了中国的政界和商界。有专家称，尽管反腐败斗争迄今的重点仍是党政机关和国有企业，但这并不意味着民营企业可以置身事外。</w:t>
      </w:r>
    </w:p>
    <w:p>
      <w:pPr>
        <w:spacing w:line="360" w:lineRule="auto"/>
        <w:rPr>
          <w:rFonts w:asciiTheme="minorEastAsia" w:hAnsiTheme="minorEastAsia"/>
          <w:sz w:val="28"/>
          <w:szCs w:val="28"/>
        </w:rPr>
      </w:pPr>
      <w:r>
        <w:rPr>
          <w:rFonts w:hint="eastAsia" w:asciiTheme="minorEastAsia" w:hAnsiTheme="minorEastAsia"/>
          <w:sz w:val="28"/>
          <w:szCs w:val="28"/>
        </w:rPr>
        <w:t>　　“民企不能置身事外”有两方面的含义。一个是在整风反腐大形势下，一些因严重违纪违法接受调查的党政干部，难免与民企存在牵扯勾连，有的甚至充当利益输送的管道，或者攫取黑金的“白手套”角色。一旦背后的“老虎”倒台，企业经营发展必定会受到巨大冲击，甚至遭遇生存问题。</w:t>
      </w:r>
    </w:p>
    <w:p>
      <w:pPr>
        <w:spacing w:line="360" w:lineRule="auto"/>
        <w:rPr>
          <w:rFonts w:asciiTheme="minorEastAsia" w:hAnsiTheme="minorEastAsia"/>
          <w:sz w:val="28"/>
          <w:szCs w:val="28"/>
        </w:rPr>
      </w:pPr>
      <w:r>
        <w:rPr>
          <w:rFonts w:hint="eastAsia" w:asciiTheme="minorEastAsia" w:hAnsiTheme="minorEastAsia"/>
          <w:sz w:val="28"/>
          <w:szCs w:val="28"/>
        </w:rPr>
        <w:t>　　另一个则是在前些年奢靡浪费、不正之风盛行的大环境影响下，社会风气影响企业风气，民企内部也难以独善其身。近年来，民营企业反腐案件逐渐增多的趋势，体现了民企的反腐已经迫在眉睫，自身“蛀虫”已经危害到很多民营企业的发展。</w:t>
      </w:r>
    </w:p>
    <w:p>
      <w:pPr>
        <w:spacing w:line="360" w:lineRule="auto"/>
        <w:rPr>
          <w:rFonts w:asciiTheme="minorEastAsia" w:hAnsiTheme="minorEastAsia"/>
          <w:sz w:val="28"/>
          <w:szCs w:val="28"/>
        </w:rPr>
      </w:pPr>
      <w:r>
        <w:rPr>
          <w:rFonts w:hint="eastAsia" w:asciiTheme="minorEastAsia" w:hAnsiTheme="minorEastAsia"/>
          <w:sz w:val="28"/>
          <w:szCs w:val="28"/>
        </w:rPr>
        <w:t>　　腐败，说到底是一种资源分配的不公。它不只是公共官员滥用职权的问题，也是人们为了捞取任何不义之财而滥用职权的行为。这种职权，并不仅限于政府公共权力。有句话叫，有人的地方就有江湖，那么，有权的地方就可能有腐败。这种权力分配不公的存在，肯定会对秩序、效率产生影响，如果从根本上影响一个单位或者一个企业的风气与文化，久而久之，这样的企业在未来很可能一夜坍塌。</w:t>
      </w:r>
    </w:p>
    <w:p>
      <w:pPr>
        <w:spacing w:line="360" w:lineRule="auto"/>
        <w:rPr>
          <w:rFonts w:asciiTheme="minorEastAsia" w:hAnsiTheme="minorEastAsia"/>
          <w:sz w:val="28"/>
          <w:szCs w:val="28"/>
        </w:rPr>
      </w:pPr>
      <w:r>
        <w:rPr>
          <w:rFonts w:hint="eastAsia" w:asciiTheme="minorEastAsia" w:hAnsiTheme="minorEastAsia"/>
          <w:sz w:val="28"/>
          <w:szCs w:val="28"/>
        </w:rPr>
        <w:t>　　比如，笔者处在的融资租赁行业，一方面定位为生产服务行业；另一方面，所提供的服务绝大部分与资金融通有关，既融物，又融资，那就可能产生资源分配的不公。做资金、资产管理的行业，里面有太多的诱惑和陷阱。在融资租赁公司，前中后台都是有一些职权的，那就有产生腐败的土壤。一个人如果满眼都是钱，那么犯错的可能就很大。</w:t>
      </w:r>
    </w:p>
    <w:p>
      <w:pPr>
        <w:spacing w:line="360" w:lineRule="auto"/>
        <w:rPr>
          <w:rFonts w:asciiTheme="minorEastAsia" w:hAnsiTheme="minorEastAsia"/>
          <w:sz w:val="28"/>
          <w:szCs w:val="28"/>
        </w:rPr>
      </w:pPr>
      <w:r>
        <w:rPr>
          <w:rFonts w:hint="eastAsia" w:asciiTheme="minorEastAsia" w:hAnsiTheme="minorEastAsia"/>
          <w:sz w:val="28"/>
          <w:szCs w:val="28"/>
        </w:rPr>
        <w:t>　　笔者曾在法院工作的时候，老法官常说一句话，不怕挣得少，就怕走得早。这话蕴含着朴素的道理——不是阳光下挣来的钱，不能使你的人生得到些许改观，反而会让你束手束脚。</w:t>
      </w:r>
    </w:p>
    <w:p>
      <w:pPr>
        <w:spacing w:line="360" w:lineRule="auto"/>
        <w:rPr>
          <w:rFonts w:asciiTheme="minorEastAsia" w:hAnsiTheme="minorEastAsia"/>
          <w:sz w:val="28"/>
          <w:szCs w:val="28"/>
        </w:rPr>
      </w:pPr>
      <w:r>
        <w:rPr>
          <w:rFonts w:hint="eastAsia" w:asciiTheme="minorEastAsia" w:hAnsiTheme="minorEastAsia"/>
          <w:sz w:val="28"/>
          <w:szCs w:val="28"/>
        </w:rPr>
        <w:t>　　一些龙头民企比较早的意识到民企反腐的问题。比如，早在2014年9月，华为公司对外通报了其内部自查自纠商业贿赂的最新情况，已查实内部有116名员工涉嫌腐败。2015年7月14日，万达通报了集团内近期出现的涉及廉洁与违反集团规章制度的事件，并对相关人员做出处罚决定。</w:t>
      </w:r>
    </w:p>
    <w:p>
      <w:pPr>
        <w:spacing w:line="360" w:lineRule="auto"/>
        <w:rPr>
          <w:rFonts w:asciiTheme="minorEastAsia" w:hAnsiTheme="minorEastAsia"/>
          <w:sz w:val="28"/>
          <w:szCs w:val="28"/>
        </w:rPr>
      </w:pPr>
      <w:r>
        <w:rPr>
          <w:rFonts w:hint="eastAsia" w:asciiTheme="minorEastAsia" w:hAnsiTheme="minorEastAsia"/>
          <w:sz w:val="28"/>
          <w:szCs w:val="28"/>
        </w:rPr>
        <w:t>　　除了华为、万达外，如百度、腾讯、阿里巴巴这样的民企，以及正在经历反腐风暴的国企，都有很多在内部制度与管理方面预防和惩处腐败行为的好经验、好做法。</w:t>
      </w:r>
    </w:p>
    <w:p>
      <w:pPr>
        <w:spacing w:line="360" w:lineRule="auto"/>
        <w:rPr>
          <w:rFonts w:asciiTheme="minorEastAsia" w:hAnsiTheme="minorEastAsia"/>
          <w:sz w:val="28"/>
          <w:szCs w:val="28"/>
        </w:rPr>
      </w:pPr>
      <w:r>
        <w:rPr>
          <w:rFonts w:hint="eastAsia" w:asciiTheme="minorEastAsia" w:hAnsiTheme="minorEastAsia"/>
          <w:sz w:val="28"/>
          <w:szCs w:val="28"/>
        </w:rPr>
        <w:t>　　一是将国家法律、党纪党规作为红线，这是在公司对外交往发展中不可逾越之处。前不久，还有外媒报道一些跨国公司在中国投资时，要请律师事务所对所投资区域做法律党纪方面的评估，考虑有无反腐风险，避免万一当地领导卷入腐败案件造成对一些投资项目的不良影响。这方面，合规经营是民营企业的底线，不容跨越，也不允许去尝试那些灰色地带。合理合法的生意有的是，没必要铤而走险。</w:t>
      </w:r>
    </w:p>
    <w:p>
      <w:pPr>
        <w:spacing w:line="360" w:lineRule="auto"/>
        <w:rPr>
          <w:rFonts w:asciiTheme="minorEastAsia" w:hAnsiTheme="minorEastAsia"/>
          <w:sz w:val="28"/>
          <w:szCs w:val="28"/>
        </w:rPr>
      </w:pPr>
      <w:r>
        <w:rPr>
          <w:rFonts w:hint="eastAsia" w:asciiTheme="minorEastAsia" w:hAnsiTheme="minorEastAsia"/>
          <w:sz w:val="28"/>
          <w:szCs w:val="28"/>
        </w:rPr>
        <w:t>　　二是公司决策、管理者必须有审计意识。内部管控做得好的企业，往往一把手的审计意识很强，不用等外部监督或者举报，内部自查已然独立而有效。这并不是内部的倾轧争斗，而是一种良性的自我监督和自我净化。宁断一指不伤十指。在这个方面，万达内部的“超强审计”，被称为“民间中纪委”，发挥了强大作用。公司的主管领导和稽核审计岗位，必须发挥更大的作用，要敢于监督，动员千次，不如问责一次。纪律不能只在OA系统里躺着，或者只是嘴上说说，必须融入到日常管理监督中，在坚持和深化中形成习惯。</w:t>
      </w:r>
    </w:p>
    <w:p>
      <w:pPr>
        <w:spacing w:line="360" w:lineRule="auto"/>
        <w:rPr>
          <w:rFonts w:asciiTheme="minorEastAsia" w:hAnsiTheme="minorEastAsia"/>
          <w:sz w:val="28"/>
          <w:szCs w:val="28"/>
        </w:rPr>
      </w:pPr>
      <w:r>
        <w:rPr>
          <w:rFonts w:hint="eastAsia" w:asciiTheme="minorEastAsia" w:hAnsiTheme="minorEastAsia"/>
          <w:sz w:val="28"/>
          <w:szCs w:val="28"/>
        </w:rPr>
        <w:t>　　三是杜绝裙带关系。不接纳靠人情、靠后台、靠亲戚来的员工，让大家以实力说话，用业绩证明。没有拉拉扯扯、小利益团体，公司的各项规章方能顺利的贯彻到底，也才能避免各种管理中的“漏洞”。公司提倡简单直接的工作环境，不能有山头，不能有派系之争。</w:t>
      </w:r>
    </w:p>
    <w:p>
      <w:pPr>
        <w:spacing w:line="360" w:lineRule="auto"/>
        <w:rPr>
          <w:rFonts w:asciiTheme="minorEastAsia" w:hAnsiTheme="minorEastAsia"/>
          <w:sz w:val="28"/>
          <w:szCs w:val="28"/>
        </w:rPr>
      </w:pPr>
      <w:r>
        <w:rPr>
          <w:rFonts w:hint="eastAsia" w:asciiTheme="minorEastAsia" w:hAnsiTheme="minorEastAsia"/>
          <w:sz w:val="28"/>
          <w:szCs w:val="28"/>
        </w:rPr>
        <w:t>　　建立完善的现代企业制度，当然是防范腐败的根本制度。从民营企业的内部建设来看，最首要的就是完善现代企业的公司治理结构，增加企业经营的透明度。腐败直接损害的就是投资人的利益，所以投资人如果任由暗箱操作，那么最终吃亏的还是自己。</w:t>
      </w:r>
    </w:p>
    <w:p>
      <w:pPr>
        <w:spacing w:line="360" w:lineRule="auto"/>
        <w:rPr>
          <w:rFonts w:asciiTheme="minorEastAsia" w:hAnsiTheme="minorEastAsia"/>
          <w:sz w:val="28"/>
          <w:szCs w:val="28"/>
        </w:rPr>
      </w:pPr>
      <w:r>
        <w:rPr>
          <w:rFonts w:hint="eastAsia" w:asciiTheme="minorEastAsia" w:hAnsiTheme="minorEastAsia"/>
          <w:sz w:val="28"/>
          <w:szCs w:val="28"/>
        </w:rPr>
        <w:t>　　与制度建设相提并论的，就是文化建设。企业文化，是一个企业的土壤根脉，其实，说的就是风气问题。风气问题的重要性，毋庸置疑，本届中央领导从严治党自风气抓起，就能看出。如果留心看中央纪委监察部网站，会发现几个他们特别强力打造的栏目。“中国传统中的家规”就是其中一个非常重要的栏目。这是与王岐山书记多次谈到的“国有国法、家有家规、党有党纪”相呼应，一方面，从展示家规、家风对一个家族的重要，强调了党的纪律对于政党组织的重要，另一方面则说明了社会风气的改良，不但在于“纠”，更重要的还在于“养”。刚刚结束的2016年研究生入学考试，政治、英语试卷不约而同考了有关家风的问题，可见社会对此的认同。</w:t>
      </w:r>
    </w:p>
    <w:p>
      <w:pPr>
        <w:spacing w:line="360" w:lineRule="auto"/>
        <w:rPr>
          <w:rFonts w:asciiTheme="minorEastAsia" w:hAnsiTheme="minorEastAsia"/>
          <w:sz w:val="28"/>
          <w:szCs w:val="28"/>
        </w:rPr>
      </w:pPr>
      <w:r>
        <w:rPr>
          <w:rFonts w:hint="eastAsia" w:asciiTheme="minorEastAsia" w:hAnsiTheme="minorEastAsia"/>
          <w:sz w:val="28"/>
          <w:szCs w:val="28"/>
        </w:rPr>
        <w:t>　　一个企业，既需要刚性的制度约束，也需要看似柔软实有韧性的文化约束。在一种良性的文化下，邪门歪道、旁门左道自然上不得台面，也没有大行其道的市场。在某种程度上，这甚至比刚性的制度更有张力。</w:t>
      </w:r>
    </w:p>
    <w:p>
      <w:pPr>
        <w:spacing w:line="360" w:lineRule="auto"/>
        <w:ind w:firstLine="570"/>
        <w:rPr>
          <w:rFonts w:asciiTheme="minorEastAsia" w:hAnsiTheme="minorEastAsia"/>
          <w:sz w:val="28"/>
          <w:szCs w:val="28"/>
        </w:rPr>
      </w:pPr>
      <w:r>
        <w:rPr>
          <w:rFonts w:hint="eastAsia" w:asciiTheme="minorEastAsia" w:hAnsiTheme="minorEastAsia"/>
          <w:sz w:val="28"/>
          <w:szCs w:val="28"/>
        </w:rPr>
        <w:t>对于企业来讲，这个忠诚，无非就是忠诚于“投资人”，忠诚于企业健康、良性的发展，这跟党内的政治纪律一样，也是企业最重要的“纪律”，或者说文化，有了这样的文化基因，加之外部的制度约束，这样就实现了一个反腐的契合，最终受益的是企业，也包括所有的员工。（汪　洋）</w:t>
      </w:r>
    </w:p>
    <w:p>
      <w:pPr>
        <w:spacing w:line="360" w:lineRule="auto"/>
        <w:ind w:firstLine="570"/>
        <w:rPr>
          <w:rFonts w:asciiTheme="minorEastAsia" w:hAnsiTheme="minorEastAsia"/>
          <w:sz w:val="28"/>
          <w:szCs w:val="28"/>
        </w:rPr>
      </w:pPr>
    </w:p>
    <w:p>
      <w:pPr>
        <w:ind w:firstLine="103" w:firstLineChars="49"/>
        <w:rPr>
          <w:b/>
        </w:rPr>
      </w:pPr>
      <w:r>
        <w:rPr>
          <w:b/>
        </w:rPr>
        <w:t>转自：光明网</w:t>
      </w:r>
    </w:p>
    <w:p>
      <w:pPr>
        <w:ind w:firstLine="103" w:firstLineChars="49"/>
        <w:rPr>
          <w:b/>
        </w:rPr>
      </w:pPr>
    </w:p>
    <w:p>
      <w:pPr>
        <w:rPr>
          <w:b/>
        </w:rPr>
      </w:pPr>
      <w:r>
        <w:rPr>
          <w:b/>
        </w:rPr>
        <w:t> 作者：汪洋 北京市租赁行业协会副会长</w:t>
      </w:r>
    </w:p>
    <w:p>
      <w:pPr>
        <w:rPr>
          <w:b/>
        </w:rPr>
      </w:pPr>
    </w:p>
    <w:p>
      <w:pPr>
        <w:rPr>
          <w:b/>
        </w:rPr>
      </w:pPr>
      <w:r>
        <w:rPr>
          <w:b/>
        </w:rPr>
        <w:t>[责任编辑:王营]</w:t>
      </w:r>
    </w:p>
    <w:p>
      <w:pPr/>
    </w:p>
    <w:p>
      <w:pPr/>
    </w:p>
    <w:p>
      <w:pPr/>
    </w:p>
    <w:p>
      <w:pPr/>
    </w:p>
    <w:p>
      <w:pPr/>
    </w:p>
    <w:p>
      <w:pPr/>
    </w:p>
    <w:p>
      <w:pPr>
        <w:pStyle w:val="3"/>
        <w:jc w:val="center"/>
        <w:rPr>
          <w:rFonts w:asciiTheme="minorEastAsia" w:hAnsiTheme="minorEastAsia" w:eastAsiaTheme="minorEastAsia"/>
        </w:rPr>
      </w:pPr>
      <w:bookmarkStart w:id="58" w:name="_Toc446322479"/>
      <w:bookmarkStart w:id="59" w:name="_Toc446330724"/>
      <w:bookmarkStart w:id="60" w:name="_Toc446330621"/>
      <w:bookmarkStart w:id="61" w:name="_Toc446326752"/>
      <w:bookmarkStart w:id="62" w:name="_Toc446324682"/>
      <w:r>
        <w:rPr>
          <w:rFonts w:asciiTheme="minorEastAsia" w:hAnsiTheme="minorEastAsia" w:eastAsiaTheme="minorEastAsia"/>
        </w:rPr>
        <w:t>首汽租车收购瑞卡40%股权，汽车租赁市场格局已定？</w:t>
      </w:r>
      <w:bookmarkEnd w:id="58"/>
      <w:bookmarkEnd w:id="59"/>
      <w:bookmarkEnd w:id="60"/>
      <w:bookmarkEnd w:id="61"/>
      <w:bookmarkEnd w:id="62"/>
    </w:p>
    <w:p>
      <w:pPr>
        <w:spacing w:line="360" w:lineRule="auto"/>
        <w:ind w:firstLine="560" w:firstLineChars="200"/>
        <w:rPr>
          <w:rFonts w:asciiTheme="minorEastAsia" w:hAnsiTheme="minorEastAsia"/>
          <w:sz w:val="28"/>
          <w:szCs w:val="28"/>
        </w:rPr>
      </w:pPr>
      <w:r>
        <w:rPr>
          <w:rFonts w:asciiTheme="minorEastAsia" w:hAnsiTheme="minorEastAsia"/>
          <w:sz w:val="28"/>
          <w:szCs w:val="28"/>
        </w:rPr>
        <w:t>首汽租车将瑞卡租车收为麾下，南北双方连横起来强大了自己，依据目前的态势，国内互联网汽车租赁品牌呈三足鼎立的局势。新的租车模式迎合了用户消费升级的需求，便捷了出行，相对降低了出行成本，是真正解决问题的服务。</w:t>
      </w:r>
    </w:p>
    <w:p>
      <w:pPr>
        <w:spacing w:line="360" w:lineRule="auto"/>
        <w:ind w:firstLine="560" w:firstLineChars="200"/>
        <w:rPr>
          <w:rFonts w:asciiTheme="minorEastAsia" w:hAnsiTheme="minorEastAsia"/>
          <w:sz w:val="28"/>
          <w:szCs w:val="28"/>
        </w:rPr>
      </w:pPr>
      <w:r>
        <w:rPr>
          <w:rFonts w:asciiTheme="minorEastAsia" w:hAnsiTheme="minorEastAsia"/>
          <w:sz w:val="28"/>
          <w:szCs w:val="28"/>
        </w:rPr>
        <w:t>伴随着情人节的到来，汽车+互联网圈肯定不会平平淡淡，自去年滴滴与快的在情人节当天合并之后，企业联姻的好日子可能都将会是2月14日。亿欧网2月14日讯，首汽集团旗下控股子公司首汽租车入主南方汽车租赁品牌瑞卡租车，前者收购后者40%股份，进行战略性投资，首汽此举已成为瑞卡租车第一大股东。</w:t>
      </w:r>
    </w:p>
    <w:p>
      <w:pPr>
        <w:spacing w:line="360" w:lineRule="auto"/>
        <w:ind w:firstLine="560" w:firstLineChars="200"/>
        <w:rPr>
          <w:rFonts w:asciiTheme="minorEastAsia" w:hAnsiTheme="minorEastAsia"/>
          <w:sz w:val="28"/>
          <w:szCs w:val="28"/>
        </w:rPr>
      </w:pPr>
      <w:r>
        <w:rPr>
          <w:rFonts w:asciiTheme="minorEastAsia" w:hAnsiTheme="minorEastAsia"/>
          <w:sz w:val="28"/>
          <w:szCs w:val="28"/>
        </w:rPr>
        <w:t>首汽租车董事长兼CEO周红发布内部信宣称，合作双方将在品牌管理、客源共享及车队协同、发展策略等多领域开展深度合作，强势启动全新的联合市场拓展。瑞卡租车创始人郑南雁也在内部信中表示，首汽租车作为第一大股东注资瑞卡，一方面是认同瑞卡租车近几年的快速发展、另一方面是认同瑞卡经营团队的掌控能力。</w:t>
      </w:r>
    </w:p>
    <w:p>
      <w:pPr>
        <w:spacing w:line="360" w:lineRule="auto"/>
        <w:ind w:firstLine="560" w:firstLineChars="200"/>
        <w:rPr>
          <w:rFonts w:asciiTheme="minorEastAsia" w:hAnsiTheme="minorEastAsia"/>
          <w:sz w:val="28"/>
          <w:szCs w:val="28"/>
        </w:rPr>
      </w:pPr>
      <w:r>
        <w:rPr>
          <w:rFonts w:asciiTheme="minorEastAsia" w:hAnsiTheme="minorEastAsia"/>
          <w:sz w:val="28"/>
          <w:szCs w:val="28"/>
        </w:rPr>
        <w:t>根据双方公布的资料显示，战略合作后瑞卡租车创始人郑南雁任联席董事长，梅文珏将继续出任瑞卡CEO，带领团队独立运营公司。首旅集团、首汽集团是首汽租车的股东方，铂涛集团则是瑞卡的投资方，双方合作后股东方的资源也将开始整合，帮助双方提升运营效率和市场影响力。</w:t>
      </w:r>
    </w:p>
    <w:p>
      <w:pPr>
        <w:spacing w:line="360" w:lineRule="auto"/>
        <w:ind w:firstLine="560" w:firstLineChars="200"/>
        <w:rPr>
          <w:rFonts w:asciiTheme="minorEastAsia" w:hAnsiTheme="minorEastAsia"/>
          <w:sz w:val="28"/>
          <w:szCs w:val="28"/>
        </w:rPr>
      </w:pPr>
      <w:r>
        <w:rPr>
          <w:rFonts w:asciiTheme="minorEastAsia" w:hAnsiTheme="minorEastAsia"/>
          <w:sz w:val="28"/>
          <w:szCs w:val="28"/>
        </w:rPr>
        <w:t>首汽租车，是首汽租赁有限责任公司品牌，成立于1992年，是国内较早从业于综合性汽车租赁服务的供应商之一，是首汽集团旗下控股子公司，具有国资背景，周红任董事长兼CEO。2015年年初，获得了自身股东首旅集团、首汽集团1.5亿美元Pre-A轮投资，同年9月30日，其公布获得嘉实A轮投资1.2亿美元。主要有短租自驾、定向长租、商务用车、公车改革、融资租赁、约租车、新能源分时租赁等业务。</w:t>
      </w:r>
    </w:p>
    <w:p>
      <w:pPr>
        <w:spacing w:line="360" w:lineRule="auto"/>
        <w:ind w:firstLine="560" w:firstLineChars="200"/>
        <w:rPr>
          <w:rFonts w:asciiTheme="minorEastAsia" w:hAnsiTheme="minorEastAsia"/>
          <w:sz w:val="28"/>
          <w:szCs w:val="28"/>
        </w:rPr>
      </w:pPr>
      <w:r>
        <w:rPr>
          <w:rFonts w:asciiTheme="minorEastAsia" w:hAnsiTheme="minorEastAsia"/>
          <w:sz w:val="28"/>
          <w:szCs w:val="28"/>
        </w:rPr>
        <w:t>瑞卡便利租车，隶属于瑞致（广州）租车有限公司，成立于2009年，在国内开创性的提出了“租车便利店”模式，是一家汽车租赁服务提供商，总部位于广州，以华南为核心业务区域，随着近几年的快速扩张，逐渐朝着全国市场迈进，主要影响力集中在华南地区。瑞卡便利租车，主营短租、自驾租车业务，同时可提供城市内、城郊之间的交通解决方案。创始人是郑南雁，CEO由梅文珏担任。此外，郑南雁也是著名酒店品牌铂涛集团的创始人兼联席董事长，铂涛集团是瑞卡的主要投资方，首汽租车此次与其合作，也是看中了瑞卡背后庞大的酒店系统资源。</w:t>
      </w:r>
    </w:p>
    <w:p>
      <w:pPr>
        <w:spacing w:line="360" w:lineRule="auto"/>
        <w:ind w:firstLine="560" w:firstLineChars="200"/>
        <w:rPr>
          <w:rFonts w:asciiTheme="minorEastAsia" w:hAnsiTheme="minorEastAsia"/>
          <w:sz w:val="28"/>
          <w:szCs w:val="28"/>
        </w:rPr>
      </w:pPr>
      <w:r>
        <w:rPr>
          <w:rFonts w:asciiTheme="minorEastAsia" w:hAnsiTheme="minorEastAsia"/>
          <w:sz w:val="28"/>
          <w:szCs w:val="28"/>
        </w:rPr>
        <w:t>目前国内专注租车服务的品牌也是巨头林立，神州租车、一嗨租车都是上市公司，公司主体经营业务是汽车租赁，并且模式多样，之前的首汽租车和瑞卡租车等汽车租赁品牌相对来说竞争力较弱，而如今首汽将瑞卡收为麾下，南北双方连横起来强大了自己，依据目前的态势，国内互联网汽车租赁品牌呈三足鼎立的局势。汽车租赁随着社会经济的发展，衍生出了很多不同的细分模式，比如分时租赁、融资租赁等全新互联网模式，这些新模式的出现，迎合了用户消费升级的需求，便捷了出行，相对降低了出行成本，就市场方面而言，是符合市场规律的真正解决问题的服务。所以说，汽车租赁的前景不容小觑。</w:t>
      </w:r>
    </w:p>
    <w:p>
      <w:pPr>
        <w:spacing w:line="360" w:lineRule="auto"/>
        <w:ind w:firstLine="560" w:firstLineChars="200"/>
        <w:rPr>
          <w:rFonts w:asciiTheme="minorEastAsia" w:hAnsiTheme="minorEastAsia"/>
          <w:sz w:val="28"/>
          <w:szCs w:val="28"/>
        </w:rPr>
      </w:pPr>
      <w:r>
        <w:rPr>
          <w:rFonts w:asciiTheme="minorEastAsia" w:hAnsiTheme="minorEastAsia"/>
          <w:sz w:val="28"/>
          <w:szCs w:val="28"/>
        </w:rPr>
        <w:t>以下是首汽租车董事长兼CEO周红的企业内部信（原文）：</w:t>
      </w:r>
    </w:p>
    <w:p>
      <w:pPr>
        <w:spacing w:line="360" w:lineRule="auto"/>
        <w:rPr>
          <w:rFonts w:asciiTheme="minorEastAsia" w:hAnsiTheme="minorEastAsia"/>
          <w:sz w:val="28"/>
          <w:szCs w:val="28"/>
        </w:rPr>
      </w:pPr>
      <w:r>
        <w:rPr>
          <w:rFonts w:asciiTheme="minorEastAsia" w:hAnsiTheme="minorEastAsia"/>
          <w:sz w:val="28"/>
          <w:szCs w:val="28"/>
        </w:rPr>
        <w:t>亲爱的首汽租车同学们：</w:t>
      </w:r>
    </w:p>
    <w:p>
      <w:pPr>
        <w:spacing w:line="360" w:lineRule="auto"/>
        <w:ind w:firstLine="560" w:firstLineChars="200"/>
        <w:rPr>
          <w:rFonts w:asciiTheme="minorEastAsia" w:hAnsiTheme="minorEastAsia"/>
          <w:sz w:val="28"/>
          <w:szCs w:val="28"/>
        </w:rPr>
      </w:pPr>
      <w:r>
        <w:rPr>
          <w:rFonts w:asciiTheme="minorEastAsia" w:hAnsiTheme="minorEastAsia"/>
          <w:sz w:val="28"/>
          <w:szCs w:val="28"/>
        </w:rPr>
        <w:t>2016年2月14日，猴年上班第一天，首先祝大家新春快乐、猴年大吉！同时也是情人节，就在此刻，我宣布：我们战略性收购瑞卡租车部分股权，成为第一大股东，这标志着首汽租车线下布局进入实质性阶段。</w:t>
      </w:r>
    </w:p>
    <w:p>
      <w:pPr>
        <w:spacing w:line="360" w:lineRule="auto"/>
        <w:ind w:firstLine="560" w:firstLineChars="200"/>
        <w:rPr>
          <w:rFonts w:asciiTheme="minorEastAsia" w:hAnsiTheme="minorEastAsia"/>
          <w:sz w:val="28"/>
          <w:szCs w:val="28"/>
        </w:rPr>
      </w:pPr>
      <w:r>
        <w:rPr>
          <w:rFonts w:asciiTheme="minorEastAsia" w:hAnsiTheme="minorEastAsia"/>
          <w:sz w:val="28"/>
          <w:szCs w:val="28"/>
        </w:rPr>
        <w:t>回顾2015年，对全体首汽租车人来说，可以用艰苦卓绝来形容：初建了线下实体经济的布局，进驻56个城市、开设230个门店及便捷点、车队规模达到1.8万辆，进军全国租车领域前三甲；自主研发了全国网络化租车平台技术，实现了O2O模式；不断丰富出行产品线，将时间与空间碎片化，组建两个科技公司，推出首汽约车和首汽分时租赁两大产品；继首旅及首汽注入1.5亿美元资金后，又完成了1.2亿美元A轮融资。但也就是在这一年，出行产业迭代升级之速度超乎我们的想象，思维受到了极大的冲击与洗礼，体会到了什么是持续创新与优化；什么是市场与资本的瞬息万变；什么是创业的速度与激情。在前几天接受采访时我说：艰难每时每刻都存在，这种艰难不是来自于团队的艰苦付出，而是来自于竞争对手的迅猛扩张。</w:t>
      </w:r>
    </w:p>
    <w:p>
      <w:pPr>
        <w:spacing w:line="360" w:lineRule="auto"/>
        <w:ind w:firstLine="560" w:firstLineChars="200"/>
        <w:rPr>
          <w:rFonts w:asciiTheme="minorEastAsia" w:hAnsiTheme="minorEastAsia"/>
          <w:sz w:val="28"/>
          <w:szCs w:val="28"/>
        </w:rPr>
      </w:pPr>
      <w:r>
        <w:rPr>
          <w:rFonts w:asciiTheme="minorEastAsia" w:hAnsiTheme="minorEastAsia"/>
          <w:sz w:val="28"/>
          <w:szCs w:val="28"/>
        </w:rPr>
        <w:t>新春伊始，我们与瑞卡在一起，这是经过慎重地考虑，不仅仅看中瑞卡作为 “租车便利店”创始者，以其广、深丰富的牌照资源、独特创新的运营模式以及“实惠、便利”的服务理念，引领短租自驾领域；更是看中“瑞卡人”那股“拼自己、闯未来”铁血战魂的精神，令我们敬重。</w:t>
      </w:r>
    </w:p>
    <w:p>
      <w:pPr>
        <w:spacing w:line="360" w:lineRule="auto"/>
        <w:ind w:firstLine="560" w:firstLineChars="200"/>
        <w:rPr>
          <w:rFonts w:asciiTheme="minorEastAsia" w:hAnsiTheme="minorEastAsia"/>
          <w:sz w:val="28"/>
          <w:szCs w:val="28"/>
        </w:rPr>
      </w:pPr>
      <w:r>
        <w:rPr>
          <w:rFonts w:asciiTheme="minorEastAsia" w:hAnsiTheme="minorEastAsia"/>
          <w:sz w:val="28"/>
          <w:szCs w:val="28"/>
        </w:rPr>
        <w:t>虽然在资本层面是首汽租车收购瑞卡租车股权，但我更愿意用合作共赢一词，感谢瑞卡创始人郑南雁先生，将担任联席董事长继续给予支持与关注，感谢瑞卡CEO梅文珏先生，将带领团队继续保持相对独立的运营；同时双方将在品牌管理、客源共享及车队协同、发展策略等多领域开展深度合作，强势启动全新的联合市场拓展，作为股东方首旅集团、首汽集团、铂涛集团的资源也将不断整合，助力提升运营效率和市场影响力。</w:t>
      </w:r>
    </w:p>
    <w:p>
      <w:pPr>
        <w:spacing w:line="360" w:lineRule="auto"/>
        <w:ind w:firstLine="560" w:firstLineChars="200"/>
        <w:rPr>
          <w:rFonts w:asciiTheme="minorEastAsia" w:hAnsiTheme="minorEastAsia"/>
          <w:sz w:val="28"/>
          <w:szCs w:val="28"/>
        </w:rPr>
      </w:pPr>
      <w:r>
        <w:rPr>
          <w:rFonts w:asciiTheme="minorEastAsia" w:hAnsiTheme="minorEastAsia"/>
          <w:sz w:val="28"/>
          <w:szCs w:val="28"/>
        </w:rPr>
        <w:t>“源于1951、创领出行”，首汽租车人自豪于历史传承与品牌荣耀，更懂得肩负创新转型重任，我们需要打造“实体经济＋互联网＋资本”大格局。选择瑞卡，表明了首汽租车致力于“提供最佳的用车服务，打造中国出行服务领军品牌”的信心与勇气。</w:t>
      </w:r>
    </w:p>
    <w:p>
      <w:pPr>
        <w:spacing w:line="360" w:lineRule="auto"/>
        <w:ind w:firstLine="560" w:firstLineChars="200"/>
        <w:rPr>
          <w:rFonts w:asciiTheme="minorEastAsia" w:hAnsiTheme="minorEastAsia"/>
          <w:sz w:val="28"/>
          <w:szCs w:val="28"/>
        </w:rPr>
      </w:pPr>
      <w:r>
        <w:rPr>
          <w:rFonts w:asciiTheme="minorEastAsia" w:hAnsiTheme="minorEastAsia"/>
          <w:sz w:val="28"/>
          <w:szCs w:val="28"/>
        </w:rPr>
        <w:t>今天宣布这一消息，是希望我们与瑞卡不仅追求资本与经营的互联，更是希望情感上的互通，给予彼此尊重与包容！    </w:t>
      </w:r>
    </w:p>
    <w:p>
      <w:pPr>
        <w:spacing w:line="360" w:lineRule="auto"/>
        <w:ind w:firstLine="560" w:firstLineChars="200"/>
        <w:rPr>
          <w:rFonts w:asciiTheme="minorEastAsia" w:hAnsiTheme="minorEastAsia"/>
          <w:sz w:val="28"/>
          <w:szCs w:val="28"/>
        </w:rPr>
      </w:pPr>
      <w:r>
        <w:rPr>
          <w:rFonts w:asciiTheme="minorEastAsia" w:hAnsiTheme="minorEastAsia"/>
          <w:sz w:val="28"/>
          <w:szCs w:val="28"/>
        </w:rPr>
        <w:t>农历丙申年，因你及你们存在，注定非凡！同学们，加油！</w:t>
      </w:r>
    </w:p>
    <w:p>
      <w:pPr>
        <w:spacing w:line="360" w:lineRule="auto"/>
        <w:ind w:firstLine="560" w:firstLineChars="200"/>
        <w:jc w:val="right"/>
        <w:rPr>
          <w:rFonts w:asciiTheme="minorEastAsia" w:hAnsiTheme="minorEastAsia"/>
          <w:sz w:val="28"/>
          <w:szCs w:val="28"/>
        </w:rPr>
      </w:pPr>
      <w:r>
        <w:rPr>
          <w:rFonts w:asciiTheme="minorEastAsia" w:hAnsiTheme="minorEastAsia"/>
          <w:sz w:val="28"/>
          <w:szCs w:val="28"/>
        </w:rPr>
        <w:t>首汽租车董事长兼CEO  周红</w:t>
      </w:r>
    </w:p>
    <w:p>
      <w:pPr>
        <w:spacing w:line="360" w:lineRule="auto"/>
        <w:ind w:firstLine="560" w:firstLineChars="200"/>
        <w:jc w:val="right"/>
        <w:rPr>
          <w:rFonts w:asciiTheme="minorEastAsia" w:hAnsiTheme="minorEastAsia"/>
          <w:sz w:val="28"/>
          <w:szCs w:val="28"/>
        </w:rPr>
      </w:pPr>
      <w:r>
        <w:rPr>
          <w:rFonts w:asciiTheme="minorEastAsia" w:hAnsiTheme="minorEastAsia"/>
          <w:sz w:val="28"/>
          <w:szCs w:val="28"/>
        </w:rPr>
        <w:t>2016年2月14日</w:t>
      </w:r>
    </w:p>
    <w:p>
      <w:pPr>
        <w:spacing w:line="360" w:lineRule="auto"/>
        <w:ind w:firstLine="560" w:firstLineChars="200"/>
        <w:jc w:val="right"/>
        <w:rPr>
          <w:rFonts w:asciiTheme="minorEastAsia" w:hAnsiTheme="minorEastAsia"/>
          <w:sz w:val="28"/>
          <w:szCs w:val="28"/>
        </w:rPr>
      </w:pPr>
    </w:p>
    <w:p>
      <w:pPr>
        <w:jc w:val="left"/>
        <w:rPr>
          <w:b/>
        </w:rPr>
      </w:pPr>
      <w:r>
        <w:rPr>
          <w:b/>
        </w:rPr>
        <w:t>转自：亿欧网</w:t>
      </w:r>
    </w:p>
    <w:p>
      <w:pPr>
        <w:pStyle w:val="2"/>
        <w:rPr>
          <w:rStyle w:val="14"/>
          <w:b/>
          <w:bCs/>
        </w:rPr>
      </w:pPr>
      <w:bookmarkStart w:id="63" w:name="_Toc446324683"/>
      <w:bookmarkStart w:id="64" w:name="_Toc446326753"/>
      <w:bookmarkStart w:id="65" w:name="_Toc446322480"/>
      <w:bookmarkStart w:id="66" w:name="_Toc446330622"/>
      <w:bookmarkStart w:id="67" w:name="_Toc446330725"/>
      <w:r>
        <w:rPr>
          <w:szCs w:val="32"/>
        </w:rPr>
        <w:t>通知公告</w:t>
      </w:r>
      <w:bookmarkEnd w:id="63"/>
      <w:bookmarkEnd w:id="64"/>
      <w:bookmarkEnd w:id="65"/>
      <w:bookmarkEnd w:id="66"/>
      <w:bookmarkEnd w:id="67"/>
    </w:p>
    <w:p>
      <w:pPr>
        <w:pStyle w:val="3"/>
        <w:jc w:val="center"/>
        <w:rPr>
          <w:sz w:val="24"/>
          <w:szCs w:val="24"/>
        </w:rPr>
      </w:pPr>
      <w:bookmarkStart w:id="68" w:name="_Toc446330726"/>
      <w:bookmarkStart w:id="69" w:name="_Toc446324684"/>
      <w:bookmarkStart w:id="70" w:name="_Toc446330623"/>
      <w:bookmarkStart w:id="71" w:name="_Toc446326754"/>
      <w:bookmarkStart w:id="72" w:name="_Toc446322481"/>
      <w:r>
        <w:t>北京市人民政府办公厅关于印发《北京市进一步做好防范和处置非法集资工作的管理办法》的通知</w:t>
      </w:r>
      <w:bookmarkEnd w:id="68"/>
      <w:bookmarkEnd w:id="69"/>
      <w:bookmarkEnd w:id="70"/>
      <w:bookmarkEnd w:id="71"/>
      <w:bookmarkEnd w:id="72"/>
    </w:p>
    <w:p>
      <w:pPr>
        <w:pStyle w:val="3"/>
        <w:jc w:val="center"/>
        <w:rPr>
          <w:rFonts w:asciiTheme="minorEastAsia" w:hAnsiTheme="minorEastAsia" w:eastAsiaTheme="minorEastAsia"/>
        </w:rPr>
      </w:pPr>
    </w:p>
    <w:p>
      <w:pPr>
        <w:jc w:val="center"/>
        <w:rPr>
          <w:sz w:val="28"/>
          <w:szCs w:val="28"/>
        </w:rPr>
      </w:pPr>
      <w:r>
        <w:rPr>
          <w:sz w:val="28"/>
          <w:szCs w:val="28"/>
        </w:rPr>
        <w:t>京政办发〔2016〕2号</w:t>
      </w:r>
    </w:p>
    <w:p>
      <w:pPr>
        <w:pStyle w:val="12"/>
        <w:shd w:val="clear" w:color="auto" w:fill="FFFFFF"/>
        <w:spacing w:before="0" w:beforeAutospacing="0" w:after="0" w:afterAutospacing="0" w:line="417" w:lineRule="atLeast"/>
        <w:jc w:val="center"/>
        <w:rPr>
          <w:rFonts w:ascii="Helvetica Neue" w:hAnsi="Helvetica Neue"/>
          <w:color w:val="3E3E3E"/>
          <w:sz w:val="23"/>
          <w:szCs w:val="23"/>
        </w:rPr>
      </w:pPr>
    </w:p>
    <w:p>
      <w:pPr>
        <w:spacing w:line="360" w:lineRule="auto"/>
        <w:rPr>
          <w:rFonts w:asciiTheme="minorEastAsia" w:hAnsiTheme="minorEastAsia"/>
          <w:sz w:val="24"/>
          <w:szCs w:val="24"/>
        </w:rPr>
      </w:pPr>
      <w:r>
        <w:rPr>
          <w:rFonts w:asciiTheme="minorEastAsia" w:hAnsiTheme="minorEastAsia"/>
          <w:sz w:val="24"/>
          <w:szCs w:val="24"/>
        </w:rPr>
        <w:t>各区人民政府，市政府各委、办、局，各市属机构：</w:t>
      </w:r>
    </w:p>
    <w:p>
      <w:pPr>
        <w:spacing w:line="360" w:lineRule="auto"/>
        <w:rPr>
          <w:rFonts w:asciiTheme="minorEastAsia" w:hAnsiTheme="minorEastAsia"/>
          <w:sz w:val="24"/>
          <w:szCs w:val="24"/>
        </w:rPr>
      </w:pPr>
      <w:r>
        <w:rPr>
          <w:rFonts w:asciiTheme="minorEastAsia" w:hAnsiTheme="minorEastAsia"/>
          <w:sz w:val="24"/>
          <w:szCs w:val="24"/>
        </w:rPr>
        <w:t>　　经市政府同意，现将《北京市进一步做好防范和处置非法集资工作的管理办法》印发给你们，请结合实际认真贯彻执行。</w:t>
      </w:r>
    </w:p>
    <w:p>
      <w:pPr>
        <w:spacing w:line="360" w:lineRule="auto"/>
        <w:jc w:val="right"/>
        <w:rPr>
          <w:rFonts w:asciiTheme="minorEastAsia" w:hAnsiTheme="minorEastAsia"/>
          <w:sz w:val="24"/>
          <w:szCs w:val="24"/>
        </w:rPr>
      </w:pPr>
      <w:r>
        <w:rPr>
          <w:rFonts w:asciiTheme="minorEastAsia" w:hAnsiTheme="minorEastAsia"/>
          <w:sz w:val="24"/>
          <w:szCs w:val="24"/>
        </w:rPr>
        <w:t>北京市人民政府办公厅</w:t>
      </w:r>
    </w:p>
    <w:p>
      <w:pPr>
        <w:spacing w:line="360" w:lineRule="auto"/>
        <w:jc w:val="right"/>
        <w:rPr>
          <w:rFonts w:asciiTheme="minorEastAsia" w:hAnsiTheme="minorEastAsia"/>
          <w:sz w:val="24"/>
          <w:szCs w:val="24"/>
        </w:rPr>
      </w:pPr>
      <w:r>
        <w:rPr>
          <w:rFonts w:asciiTheme="minorEastAsia" w:hAnsiTheme="minorEastAsia"/>
          <w:sz w:val="24"/>
          <w:szCs w:val="24"/>
        </w:rPr>
        <w:t>2016年1月21日</w:t>
      </w:r>
    </w:p>
    <w:p>
      <w:pPr>
        <w:spacing w:line="360" w:lineRule="auto"/>
        <w:jc w:val="right"/>
        <w:rPr>
          <w:rFonts w:asciiTheme="minorEastAsia" w:hAnsiTheme="minorEastAsia"/>
          <w:sz w:val="24"/>
          <w:szCs w:val="24"/>
        </w:rPr>
      </w:pPr>
    </w:p>
    <w:p>
      <w:pPr>
        <w:spacing w:line="360" w:lineRule="auto"/>
        <w:jc w:val="center"/>
        <w:rPr>
          <w:rFonts w:asciiTheme="minorEastAsia" w:hAnsiTheme="minorEastAsia"/>
          <w:b/>
          <w:sz w:val="24"/>
          <w:szCs w:val="24"/>
        </w:rPr>
      </w:pPr>
      <w:r>
        <w:rPr>
          <w:rFonts w:asciiTheme="minorEastAsia" w:hAnsiTheme="minorEastAsia"/>
          <w:b/>
          <w:sz w:val="24"/>
          <w:szCs w:val="24"/>
        </w:rPr>
        <w:t>北京市进一步做好防范和处置非法集资工作的管理办法</w:t>
      </w:r>
    </w:p>
    <w:p>
      <w:pPr>
        <w:spacing w:line="360" w:lineRule="auto"/>
        <w:jc w:val="center"/>
        <w:rPr>
          <w:rFonts w:asciiTheme="minorEastAsia" w:hAnsiTheme="minorEastAsia"/>
          <w:b/>
          <w:sz w:val="24"/>
          <w:szCs w:val="24"/>
        </w:rPr>
      </w:pPr>
    </w:p>
    <w:p>
      <w:pPr>
        <w:spacing w:line="360" w:lineRule="auto"/>
        <w:rPr>
          <w:rFonts w:asciiTheme="minorEastAsia" w:hAnsiTheme="minorEastAsia"/>
          <w:sz w:val="24"/>
          <w:szCs w:val="24"/>
        </w:rPr>
      </w:pPr>
      <w:r>
        <w:rPr>
          <w:rFonts w:asciiTheme="minorEastAsia" w:hAnsiTheme="minorEastAsia"/>
          <w:sz w:val="24"/>
          <w:szCs w:val="24"/>
        </w:rPr>
        <w:t>　　为深入贯彻党的十八大和十八届三中、四中、五中全会精神，认真落实《国务院关于进一步做好防范和处置非法集资工作的意见》（国发〔2015〕59号），主动适应经济发展新常态，正确处理稳增长、防风险、保稳定的关系，推动互联网金融健康发展，积极防范化解非法集资风险隐患，坚决遏制非法集资高发态势，坚决守住不发生系统性区域性金融风险底线，切实维护首都金融安全和社会稳定，特制定本管理办法。</w:t>
      </w:r>
    </w:p>
    <w:p>
      <w:pPr>
        <w:spacing w:line="360" w:lineRule="auto"/>
        <w:rPr>
          <w:rFonts w:asciiTheme="minorEastAsia" w:hAnsiTheme="minorEastAsia"/>
          <w:sz w:val="24"/>
          <w:szCs w:val="24"/>
        </w:rPr>
      </w:pPr>
      <w:r>
        <w:rPr>
          <w:rFonts w:asciiTheme="minorEastAsia" w:hAnsiTheme="minorEastAsia"/>
          <w:sz w:val="24"/>
          <w:szCs w:val="24"/>
        </w:rPr>
        <w:t>　　第一条　严格投融资类市场主体准入管理。国家及本市对投融资类市场主体准入管理有明确规定的，严格依法办理。建立投融资类市场主体准入会商机制，加强对名称或经营范围中含有但不限于“投资、资产、资本、控股、股权投资（基金）、财富（财务）管理、投资（财务、财税、融资、金融、金融服务、理财、贷款）咨询、融资租赁、非融资性担保、互联网金融”等字样或类似字样的市场主体的综合监管，做好金融风险的源头防范工作。</w:t>
      </w:r>
    </w:p>
    <w:p>
      <w:pPr>
        <w:spacing w:line="360" w:lineRule="auto"/>
        <w:rPr>
          <w:rFonts w:asciiTheme="minorEastAsia" w:hAnsiTheme="minorEastAsia"/>
          <w:sz w:val="24"/>
          <w:szCs w:val="24"/>
        </w:rPr>
      </w:pPr>
      <w:r>
        <w:rPr>
          <w:rFonts w:asciiTheme="minorEastAsia" w:hAnsiTheme="minorEastAsia"/>
          <w:sz w:val="24"/>
          <w:szCs w:val="24"/>
        </w:rPr>
        <w:t>　　加强信用监管和行业自律管理。建立涉嫌非法集资市场主体（包括法人、实际控制人、代理人、中间人等）信用信息归集机制，将对此类主体的抽查检查、行政处罚、投诉举报和日常监管类信息纳入北京市企业信用信息系统。充分发挥信用信息公示作用，通过北京市企业信用信息网对涉嫌非法集资市场主体的行政处罚等警示信息进行公示，及时向社会提示风险。金融管理部门、市工商部门要运用大数据技术加强信息分析，建立行业（领域）黑名单制度和联合惩戒工作机制，加强行政监管性约束和惩戒；积极支持行业协会制定并执行行业准入标准和自律规则。行业协会要加强行业自律管理，对投资理财、非融资性担保、P2P网络借贷等重点领域加强风险监控；建立并共享违反金融从业禁止性规定、存在信用瑕疵人员的清单；建立理财产品登记和信息披露平台，定期向行业主管、监管部门报告行业经营状况、资金投向、风险排查情况；督促会员机构严格资金存管，在银行建立独立存管账户，实现客户资金与自有资金分账管理；加强风险警示，开展第三方评估，及时向投资人提示风险。</w:t>
      </w:r>
    </w:p>
    <w:p>
      <w:pPr>
        <w:spacing w:line="360" w:lineRule="auto"/>
        <w:rPr>
          <w:rFonts w:asciiTheme="minorEastAsia" w:hAnsiTheme="minorEastAsia"/>
          <w:sz w:val="24"/>
          <w:szCs w:val="24"/>
        </w:rPr>
      </w:pPr>
      <w:r>
        <w:rPr>
          <w:rFonts w:asciiTheme="minorEastAsia" w:hAnsiTheme="minorEastAsia"/>
          <w:sz w:val="24"/>
          <w:szCs w:val="24"/>
        </w:rPr>
        <w:t>　　第二条　广泛普及金融知识，加强金融风险教育。市打击非法集资和非法证券经营活动工作协调小组办公室（以下简称市打非办）负责指导防范和处置非法集资宣传教育工作，充分运用各类媒介或载体，以法律政策解读、典型案例剖析、投资风险教育等方式，增强宣传教育的广泛性、针对性、有效性。媒体要加大对金融知识宣传普及和投资风险教育工作力度。金融机构要认真履行宣传教育义务，在营业场所醒目位置张贴非法集资风险警示标识。推动防范和处置非法集资宣传教育活动进机关、进企业、进学校、进家庭、进社区、进村镇，实现宣传教育全覆盖。</w:t>
      </w:r>
    </w:p>
    <w:p>
      <w:pPr>
        <w:spacing w:line="360" w:lineRule="auto"/>
        <w:rPr>
          <w:rFonts w:asciiTheme="minorEastAsia" w:hAnsiTheme="minorEastAsia"/>
          <w:sz w:val="24"/>
          <w:szCs w:val="24"/>
        </w:rPr>
      </w:pPr>
      <w:r>
        <w:rPr>
          <w:rFonts w:asciiTheme="minorEastAsia" w:hAnsiTheme="minorEastAsia"/>
          <w:sz w:val="24"/>
          <w:szCs w:val="24"/>
        </w:rPr>
        <w:t>　　第三条　动员社会各方面力量广泛参与。各区政府要有效落实属地管理职责，充分发挥资源统筹调动、靠近基层一线优势，利用基层群众自治的经验和优势，群防群治，做好本行政区域内风险排查、监测预警、协同处置、宣传教育和维护稳定等工作。充分发挥社会各方面力量的作用，建立大学生村官、社会志愿者、基层社会组织和广大群众自动自发、广泛参与的防范预警机制。市打非办要加快建立非法集资举报奖励制度，并充分发挥12345（市非紧急救助服务热线）和打非随手拍举报作用，广泛发动群众检举揭发非法集资活动。</w:t>
      </w:r>
    </w:p>
    <w:p>
      <w:pPr>
        <w:spacing w:line="360" w:lineRule="auto"/>
        <w:rPr>
          <w:rFonts w:asciiTheme="minorEastAsia" w:hAnsiTheme="minorEastAsia"/>
          <w:sz w:val="24"/>
          <w:szCs w:val="24"/>
        </w:rPr>
      </w:pPr>
      <w:r>
        <w:rPr>
          <w:rFonts w:asciiTheme="minorEastAsia" w:hAnsiTheme="minorEastAsia"/>
          <w:sz w:val="24"/>
          <w:szCs w:val="24"/>
        </w:rPr>
        <w:t>　　第四条　加强广告和网络资讯信息管理。对于公安机关认定涉嫌经济犯罪以及金融管理部门认为涉嫌构成非法集资活动的，媒体应当立即停止发布与其有关的任何形式的广告。媒体要强化对投融资类广告审查的法律意识和责任意识。市网络管理、通信管理等部门要加强对网络和通讯工具的监督管理，防止非法集资信息传播。相关部门要做好投资理财小广告和资讯信息的清理整治工作。</w:t>
      </w:r>
    </w:p>
    <w:p>
      <w:pPr>
        <w:spacing w:line="360" w:lineRule="auto"/>
        <w:rPr>
          <w:rFonts w:asciiTheme="minorEastAsia" w:hAnsiTheme="minorEastAsia"/>
          <w:sz w:val="24"/>
          <w:szCs w:val="24"/>
        </w:rPr>
      </w:pPr>
      <w:r>
        <w:rPr>
          <w:rFonts w:asciiTheme="minorEastAsia" w:hAnsiTheme="minorEastAsia"/>
          <w:sz w:val="24"/>
          <w:szCs w:val="24"/>
        </w:rPr>
        <w:t>　　第五条　强化大数据监测预警，加强行业数据整合与信息共享。市打非办要通过政府购买公共服务等方式，建设完善大数据监测预警平台，充分利用互联网、大数据等现代信息技术，及时发现非法集资线索。金融管理部门要督促金融机构在严格执行大额可疑资金报告制度基础上，对各类账户交易中涉嫌非法集资资金异动情况进行分析识别，并将有关情况及时提供给市打非办。</w:t>
      </w:r>
    </w:p>
    <w:p>
      <w:pPr>
        <w:spacing w:line="360" w:lineRule="auto"/>
        <w:rPr>
          <w:rFonts w:asciiTheme="minorEastAsia" w:hAnsiTheme="minorEastAsia"/>
          <w:sz w:val="24"/>
          <w:szCs w:val="24"/>
        </w:rPr>
      </w:pPr>
      <w:r>
        <w:rPr>
          <w:rFonts w:asciiTheme="minorEastAsia" w:hAnsiTheme="minorEastAsia"/>
          <w:sz w:val="24"/>
          <w:szCs w:val="24"/>
        </w:rPr>
        <w:t>　　第六条　强化落实行业监督管理责任。各行业主管、监管部门按照“谁审批、谁监管，谁主管、谁监管”和管行业必须管风险的原则，建立协同监管机制，加强综合监管和预警防范，确保所有行业（领域）非法集资监管防范不留真空，特别是要结合首都金融创新发展实际，做到金融新业态监管全覆盖。对需要经过市场准入许可的行业（领域），由准入监管部门负责本行业（领域）非法集资的防范、监测和预警工作；对无需市场准入许可，但有明确主管部门指导、规范和促进的行业（领域），由主管部门牵头负责本行业（领域）非法集资的防范、监测和预警工作；对于投资公司、投资咨询类公司等没有明确主管、监管部门的行业（领域），由各区政府会同市相关部门充分利用现有市场监管手段，强化综合监管，防范非法集资风险。金融管理部门要督促金融机构加强内部管理，建立金融机构从业人员私售理财产品黑名单制度并加强信息共享，对进入黑名单的金融机构从业人员，依法依规实施取消高管人员任职资格和金融从业资格等行业禁入惩戒措施。</w:t>
      </w:r>
    </w:p>
    <w:p>
      <w:pPr>
        <w:spacing w:line="360" w:lineRule="auto"/>
        <w:rPr>
          <w:rFonts w:asciiTheme="minorEastAsia" w:hAnsiTheme="minorEastAsia"/>
          <w:sz w:val="24"/>
          <w:szCs w:val="24"/>
        </w:rPr>
      </w:pPr>
      <w:r>
        <w:rPr>
          <w:rFonts w:asciiTheme="minorEastAsia" w:hAnsiTheme="minorEastAsia"/>
          <w:sz w:val="24"/>
          <w:szCs w:val="24"/>
        </w:rPr>
        <w:t>　　第七条　加强事中事后监管。行业主管、监管部门要加强对所主管、监管机构和业务的风险排查和行政执法，加强监测预警和事中事后监管，做到早发现、早预防、早处置。市工商、税务、统计等有关部门要加强对无照经营、本地注册异地经营、异地注册本地经营等市场主体的监督管理。各区政府、市有关部门要综合运用信用分类监管、定向抽查检查、信息公示、风险警示约谈、建立黑名单等方式，从源头上排查非法集资线索，特别要对有非法集资记录的市场主体进行重点监测，发现异常经营行为及时采取有效措施。行业主管、监管部门在发现违法违规行为后，有专门执法力量的，由其牵头负责查处；没有专门执法力量或执法力量不足的，可依法提请市工商部门牵头共同予以查处。各行政执法部门在执法过程中，发现非法集资线索，应及时移交金融管理部门，并通报市打非办。</w:t>
      </w:r>
    </w:p>
    <w:p>
      <w:pPr>
        <w:spacing w:line="360" w:lineRule="auto"/>
        <w:rPr>
          <w:rFonts w:asciiTheme="minorEastAsia" w:hAnsiTheme="minorEastAsia"/>
          <w:sz w:val="24"/>
          <w:szCs w:val="24"/>
        </w:rPr>
      </w:pPr>
      <w:r>
        <w:rPr>
          <w:rFonts w:asciiTheme="minorEastAsia" w:hAnsiTheme="minorEastAsia"/>
          <w:sz w:val="24"/>
          <w:szCs w:val="24"/>
        </w:rPr>
        <w:t>　　第八条　依法统筹案件处置工作。对于重大非法集资案件，要成立专项工作小组，加强政策指导，对罪名适用、量刑标准、涉案财物处置等重点问题进行会商研判。公安、银监部门要加快推动建立银行涉案账户资金网络查控机制，金融管理部门要指导金融机构协助公安机关和司法机关做好涉案资产查封、资金账户查询和冻结等工作。建立涉案资产登记处置信息平台、项目托管经营机制和易贬值、易灭失等特殊资产快速处置机制，最大限度追赃减损，维护群众合法权益。建立全过程维稳机制，落实属地责任，非法集资市场主体注册地所在区政府要建立集中接待工作站，做好信访接待等工作。</w:t>
      </w:r>
    </w:p>
    <w:p>
      <w:pPr>
        <w:spacing w:line="360" w:lineRule="auto"/>
        <w:rPr>
          <w:rFonts w:asciiTheme="minorEastAsia" w:hAnsiTheme="minorEastAsia"/>
          <w:sz w:val="24"/>
          <w:szCs w:val="24"/>
        </w:rPr>
      </w:pPr>
      <w:r>
        <w:rPr>
          <w:rFonts w:asciiTheme="minorEastAsia" w:hAnsiTheme="minorEastAsia"/>
          <w:sz w:val="24"/>
          <w:szCs w:val="24"/>
        </w:rPr>
        <w:t>　　第九条　加强跨区域协同处置。坚持统一指挥协调、统一办案要求、统一资产处置、分别侦查诉讼、分别落实维稳的工作原则，本市负责牵头处置时，积极主动落实牵头责任，依法依规、公平公正地制定统一处置方案，加强与其他涉案省（自治区、直辖市）的沟通协调，定期通报工作进展情况；本市协办处置时，要大力支持配合，切实履行协助义务。建立与国家处置非法集资部际联席会议办公室及其他省（自治区、直辖市）有关方面的沟通会商机制，加强跨区域、跨部门协作，共同解决办案难题，提高案件查处效率。</w:t>
      </w:r>
    </w:p>
    <w:p>
      <w:pPr>
        <w:spacing w:line="360" w:lineRule="auto"/>
        <w:rPr>
          <w:rFonts w:asciiTheme="minorEastAsia" w:hAnsiTheme="minorEastAsia"/>
          <w:sz w:val="24"/>
          <w:szCs w:val="24"/>
        </w:rPr>
      </w:pPr>
      <w:r>
        <w:rPr>
          <w:rFonts w:asciiTheme="minorEastAsia" w:hAnsiTheme="minorEastAsia"/>
          <w:sz w:val="24"/>
          <w:szCs w:val="24"/>
        </w:rPr>
        <w:t>　　第十条　加强工作保障。要进一步做好防范和处置非法集资的人员、经费等保障工作。市、区财政部门要合理保障防范和处置非法集资工作相关经费，并纳入同级政府预算。</w:t>
      </w:r>
    </w:p>
    <w:p>
      <w:pPr>
        <w:spacing w:line="360" w:lineRule="auto"/>
        <w:rPr>
          <w:rFonts w:asciiTheme="minorEastAsia" w:hAnsiTheme="minorEastAsia"/>
          <w:sz w:val="24"/>
          <w:szCs w:val="24"/>
        </w:rPr>
      </w:pPr>
      <w:r>
        <w:rPr>
          <w:rFonts w:asciiTheme="minorEastAsia" w:hAnsiTheme="minorEastAsia"/>
          <w:sz w:val="24"/>
          <w:szCs w:val="24"/>
        </w:rPr>
        <w:t>　　本办法自发布之日起实施。</w:t>
      </w:r>
    </w:p>
    <w:p>
      <w:pPr>
        <w:spacing w:line="360" w:lineRule="auto"/>
        <w:jc w:val="left"/>
      </w:pPr>
      <w:r>
        <w:rPr>
          <w:rFonts w:asciiTheme="minorEastAsia" w:hAnsiTheme="minorEastAsia"/>
          <w:sz w:val="24"/>
          <w:szCs w:val="24"/>
        </w:rPr>
        <w:br w:type="textWrapping"/>
      </w:r>
      <w:r>
        <w:rPr>
          <w:rStyle w:val="14"/>
          <w:rFonts w:ascii="Helvetica Neue" w:hAnsi="Helvetica Neue"/>
          <w:color w:val="3E3E3E"/>
          <w:szCs w:val="21"/>
        </w:rPr>
        <w:t>转自：北京市人民政府办公厅</w:t>
      </w:r>
    </w:p>
    <w:p>
      <w:pPr/>
    </w:p>
    <w:p>
      <w:pPr/>
    </w:p>
    <w:p>
      <w:pPr/>
    </w:p>
    <w:p>
      <w:pPr/>
    </w:p>
    <w:p>
      <w:pPr/>
    </w:p>
    <w:p>
      <w:pPr/>
    </w:p>
    <w:p>
      <w:pPr>
        <w:pStyle w:val="3"/>
        <w:jc w:val="center"/>
        <w:rPr>
          <w:rFonts w:asciiTheme="minorEastAsia" w:hAnsiTheme="minorEastAsia"/>
          <w:sz w:val="24"/>
          <w:szCs w:val="24"/>
        </w:rPr>
      </w:pPr>
      <w:bookmarkStart w:id="73" w:name="_Toc446322482"/>
      <w:bookmarkStart w:id="74" w:name="_Toc446330624"/>
      <w:bookmarkStart w:id="75" w:name="_Toc446326755"/>
      <w:bookmarkStart w:id="76" w:name="_Toc446324685"/>
      <w:bookmarkStart w:id="77" w:name="_Toc446330727"/>
      <w:r>
        <w:rPr>
          <w:rFonts w:hint="eastAsia"/>
        </w:rPr>
        <w:t>北京市人民政府关于印发《〈中国制造2025〉北京行动纲要》的通知</w:t>
      </w:r>
      <w:bookmarkEnd w:id="73"/>
      <w:bookmarkEnd w:id="74"/>
      <w:bookmarkEnd w:id="75"/>
      <w:bookmarkEnd w:id="76"/>
      <w:bookmarkEnd w:id="77"/>
    </w:p>
    <w:p>
      <w:pPr>
        <w:jc w:val="center"/>
        <w:rPr>
          <w:rFonts w:asciiTheme="minorEastAsia" w:hAnsiTheme="minorEastAsia"/>
          <w:sz w:val="28"/>
          <w:szCs w:val="28"/>
        </w:rPr>
      </w:pPr>
      <w:r>
        <w:rPr>
          <w:rFonts w:asciiTheme="minorEastAsia" w:hAnsiTheme="minorEastAsia"/>
          <w:sz w:val="28"/>
          <w:szCs w:val="28"/>
        </w:rPr>
        <w:t>京政发〔2015〕60号</w:t>
      </w:r>
    </w:p>
    <w:p>
      <w:pPr>
        <w:rPr>
          <w:rFonts w:asciiTheme="minorEastAsia" w:hAnsiTheme="minorEastAsia"/>
          <w:sz w:val="28"/>
          <w:szCs w:val="28"/>
        </w:rPr>
      </w:pPr>
      <w:r>
        <w:rPr>
          <w:rFonts w:asciiTheme="minorEastAsia" w:hAnsiTheme="minorEastAsia"/>
          <w:sz w:val="28"/>
          <w:szCs w:val="28"/>
        </w:rPr>
        <w:t>各区人民政府，市政府各委、办、局，各市属机构：</w:t>
      </w:r>
    </w:p>
    <w:p>
      <w:pPr>
        <w:rPr>
          <w:rFonts w:asciiTheme="minorEastAsia" w:hAnsiTheme="minorEastAsia"/>
          <w:sz w:val="28"/>
          <w:szCs w:val="28"/>
        </w:rPr>
      </w:pPr>
      <w:r>
        <w:rPr>
          <w:rFonts w:asciiTheme="minorEastAsia" w:hAnsiTheme="minorEastAsia"/>
          <w:sz w:val="28"/>
          <w:szCs w:val="28"/>
        </w:rPr>
        <w:t>　　现将《〈中国制造2025〉北京行动纲要》印发给你们，请结合实际认真贯彻落实。</w:t>
      </w:r>
    </w:p>
    <w:p>
      <w:pPr>
        <w:jc w:val="right"/>
        <w:rPr>
          <w:rFonts w:asciiTheme="minorEastAsia" w:hAnsiTheme="minorEastAsia"/>
          <w:sz w:val="28"/>
          <w:szCs w:val="28"/>
        </w:rPr>
      </w:pPr>
      <w:r>
        <w:rPr>
          <w:rFonts w:asciiTheme="minorEastAsia" w:hAnsiTheme="minorEastAsia"/>
          <w:sz w:val="28"/>
          <w:szCs w:val="28"/>
        </w:rPr>
        <w:t>北京市人民政府</w:t>
      </w:r>
    </w:p>
    <w:p>
      <w:pPr>
        <w:jc w:val="right"/>
        <w:rPr>
          <w:rFonts w:asciiTheme="minorEastAsia" w:hAnsiTheme="minorEastAsia"/>
          <w:sz w:val="28"/>
          <w:szCs w:val="28"/>
        </w:rPr>
      </w:pPr>
      <w:r>
        <w:rPr>
          <w:rFonts w:asciiTheme="minorEastAsia" w:hAnsiTheme="minorEastAsia"/>
          <w:sz w:val="28"/>
          <w:szCs w:val="28"/>
        </w:rPr>
        <w:t>2015年12月5日</w:t>
      </w:r>
    </w:p>
    <w:p>
      <w:pPr>
        <w:jc w:val="center"/>
        <w:rPr>
          <w:rFonts w:asciiTheme="minorEastAsia" w:hAnsiTheme="minorEastAsia"/>
          <w:b/>
          <w:sz w:val="28"/>
          <w:szCs w:val="28"/>
        </w:rPr>
      </w:pPr>
      <w:r>
        <w:rPr>
          <w:rFonts w:asciiTheme="minorEastAsia" w:hAnsiTheme="minorEastAsia"/>
          <w:b/>
          <w:sz w:val="28"/>
          <w:szCs w:val="28"/>
        </w:rPr>
        <w:t>《中国制造2025》北京行动纲要</w:t>
      </w:r>
    </w:p>
    <w:p>
      <w:pPr>
        <w:rPr>
          <w:rFonts w:asciiTheme="minorEastAsia" w:hAnsiTheme="minorEastAsia"/>
          <w:sz w:val="28"/>
          <w:szCs w:val="28"/>
        </w:rPr>
      </w:pPr>
      <w:r>
        <w:rPr>
          <w:rFonts w:asciiTheme="minorEastAsia" w:hAnsiTheme="minorEastAsia"/>
          <w:sz w:val="28"/>
          <w:szCs w:val="28"/>
        </w:rPr>
        <w:t>　　为深入贯彻《中国制造2025》，全面落实《京津冀协同发展规划纲要》，持续推动本市制造业转型升级，加快构建高精尖经济结构，努力建设全国科技创新中心，特制定本行动纲要。</w:t>
      </w:r>
    </w:p>
    <w:p>
      <w:pPr>
        <w:rPr>
          <w:rFonts w:asciiTheme="minorEastAsia" w:hAnsiTheme="minorEastAsia"/>
          <w:sz w:val="28"/>
          <w:szCs w:val="28"/>
        </w:rPr>
      </w:pPr>
      <w:r>
        <w:rPr>
          <w:rFonts w:asciiTheme="minorEastAsia" w:hAnsiTheme="minorEastAsia"/>
          <w:sz w:val="28"/>
          <w:szCs w:val="28"/>
        </w:rPr>
        <w:t>　　一、总体要求</w:t>
      </w:r>
    </w:p>
    <w:p>
      <w:pPr>
        <w:rPr>
          <w:rFonts w:asciiTheme="minorEastAsia" w:hAnsiTheme="minorEastAsia"/>
          <w:sz w:val="28"/>
          <w:szCs w:val="28"/>
        </w:rPr>
      </w:pPr>
      <w:r>
        <w:rPr>
          <w:rFonts w:asciiTheme="minorEastAsia" w:hAnsiTheme="minorEastAsia"/>
          <w:sz w:val="28"/>
          <w:szCs w:val="28"/>
        </w:rPr>
        <w:t>　　(一)指导思想。深入贯彻落实党的十八大和十八届三中、四中、五中全会精神，深入学习贯彻习近平总书记系列重要讲话和对北京工作的重要指示精神，坚持和强化首都城市战略定位，紧紧抓住国家实施制造强国战略的重大机遇，牢固树立创新、协调、绿色、开放、共享的发展理念，始终坚持高端化、服务化、集聚化、融合化、低碳化的发展方向，瞄准全球制造业创新制高点，以构建产业生态为基础，以提高发展质量和效益为中心，以推动“在北京制造”向“由北京创造”转型为主线，全面实施“三四五八”行动计划，努力促进制造业创新发展，使本市真正成为京津冀协同发展的增长引擎、引领中国制造由大变强的先行区域和制造业创新发展的战略高地。</w:t>
      </w:r>
    </w:p>
    <w:p>
      <w:pPr>
        <w:rPr>
          <w:rFonts w:asciiTheme="minorEastAsia" w:hAnsiTheme="minorEastAsia"/>
          <w:sz w:val="28"/>
          <w:szCs w:val="28"/>
        </w:rPr>
      </w:pPr>
      <w:r>
        <w:rPr>
          <w:rFonts w:asciiTheme="minorEastAsia" w:hAnsiTheme="minorEastAsia"/>
          <w:sz w:val="28"/>
          <w:szCs w:val="28"/>
        </w:rPr>
        <w:t>　　(二)发展目标。到2020年，制造业创新发展能力大幅提升，高端发展态势逐步显现，集约发展程度持续增强，绿色发展水平迈上新台阶，形成一批具有较强竞争力的优势产业，保持制造业占地区生产总值比重和对地方财政贡献“双稳定”，实现创新能力和质量效益“双提升”，带动京津冀地区数字化、网络化和智能化制造取得明显进展。</w:t>
      </w:r>
    </w:p>
    <w:p>
      <w:pPr>
        <w:rPr>
          <w:rFonts w:asciiTheme="minorEastAsia" w:hAnsiTheme="minorEastAsia"/>
          <w:sz w:val="28"/>
          <w:szCs w:val="28"/>
        </w:rPr>
      </w:pPr>
      <w:r>
        <w:rPr>
          <w:rFonts w:asciiTheme="minorEastAsia" w:hAnsiTheme="minorEastAsia"/>
          <w:sz w:val="28"/>
          <w:szCs w:val="28"/>
        </w:rPr>
        <w:t>　　到2025年，形成创新驱动、高端发展、集约高效、环境友好的产业发展新格局，国际竞争力和影响力显著提升，部分制造业领域处于世界领先地位，综合资源消耗率达到世界先进水平，真正成为服务全国、辐射全球的优势产业集聚区。</w:t>
      </w:r>
    </w:p>
    <w:p>
      <w:pPr>
        <w:rPr>
          <w:rFonts w:asciiTheme="minorEastAsia" w:hAnsiTheme="minorEastAsia"/>
          <w:sz w:val="28"/>
          <w:szCs w:val="28"/>
        </w:rPr>
      </w:pPr>
      <w:r>
        <w:rPr>
          <w:rFonts w:asciiTheme="minorEastAsia" w:hAnsiTheme="minorEastAsia"/>
          <w:sz w:val="28"/>
          <w:szCs w:val="28"/>
        </w:rPr>
        <w:t>　　二、持续推动“三转”调整，着力释放产业发展活力</w:t>
      </w:r>
    </w:p>
    <w:p>
      <w:pPr>
        <w:rPr>
          <w:rFonts w:asciiTheme="minorEastAsia" w:hAnsiTheme="minorEastAsia"/>
          <w:sz w:val="28"/>
          <w:szCs w:val="28"/>
        </w:rPr>
      </w:pPr>
      <w:r>
        <w:rPr>
          <w:rFonts w:asciiTheme="minorEastAsia" w:hAnsiTheme="minorEastAsia"/>
          <w:sz w:val="28"/>
          <w:szCs w:val="28"/>
        </w:rPr>
        <w:t>　　(一)就地淘汰落后产能，转换产业发展领域。系统梳理制造业发展现状，定期修订完善《北京市工业污染行业、生产工艺调整退出及设备淘汰目录》，尽快淘汰污染较大、能耗较高的生产企业和制造环节。加快“腾笼换鸟”步伐，利用腾退的空间集聚高端创新要素和资源，建设产业协同创新平台，吸引和配置高精尖产业项目。着力推动二、三产业融合，大力发展生产性服务业，构建以创新为引领和支撑的高精尖产业体系。</w:t>
      </w:r>
    </w:p>
    <w:p>
      <w:pPr>
        <w:rPr>
          <w:rFonts w:asciiTheme="minorEastAsia" w:hAnsiTheme="minorEastAsia"/>
          <w:sz w:val="28"/>
          <w:szCs w:val="28"/>
        </w:rPr>
      </w:pPr>
      <w:r>
        <w:rPr>
          <w:rFonts w:asciiTheme="minorEastAsia" w:hAnsiTheme="minorEastAsia"/>
          <w:sz w:val="28"/>
          <w:szCs w:val="28"/>
        </w:rPr>
        <w:t>　　(二)有序转移存量企业，转换产业发展空间。在严格落实《北京市新增产业的禁止和限制目录》的基础上，加快推动城六区现有工业企业转移升级，逐步将高端制造企业转移到产业园区。以中关村国家自主创新示范区“一区十六园”和国家级、市级产业园区为主体，整合低效工业用地，形成产业集聚和创新发展新格局。加强产业合作，搭建对接平台，完善共建共享机制，引导不具备比较优势的制造企业转移到津冀地区，并与津冀两地政府合作共建一批产业转移示范园区，特别是加快北京(曹妃甸)现代产业发展试验区建设。</w:t>
      </w:r>
    </w:p>
    <w:p>
      <w:pPr>
        <w:rPr>
          <w:rFonts w:asciiTheme="minorEastAsia" w:hAnsiTheme="minorEastAsia"/>
          <w:sz w:val="28"/>
          <w:szCs w:val="28"/>
        </w:rPr>
      </w:pPr>
      <w:r>
        <w:rPr>
          <w:rFonts w:asciiTheme="minorEastAsia" w:hAnsiTheme="minorEastAsia"/>
          <w:sz w:val="28"/>
          <w:szCs w:val="28"/>
        </w:rPr>
        <w:t>　　(三)改造升级优势企业，转换产业发展动力。积极对接国家“绿色制造工程”，实施绿色制造技术改造行动，制定重点产业技术改造投资指南，组织一批能效提升、清洁生产、资源循环利用等技术改造项目，推动企业向智能化、绿色化、高端化方向发展。按照新型工业化产业示范基地建设要求，改造提升现有产业集聚区，改变以生产为中心、以产能扩张为导向的产业集聚方式，构建创新生态系统，建设一批微制造基地。</w:t>
      </w:r>
    </w:p>
    <w:p>
      <w:pPr>
        <w:rPr>
          <w:rFonts w:asciiTheme="minorEastAsia" w:hAnsiTheme="minorEastAsia"/>
          <w:sz w:val="28"/>
          <w:szCs w:val="28"/>
        </w:rPr>
      </w:pPr>
      <w:r>
        <w:rPr>
          <w:rFonts w:asciiTheme="minorEastAsia" w:hAnsiTheme="minorEastAsia"/>
          <w:sz w:val="28"/>
          <w:szCs w:val="28"/>
        </w:rPr>
        <w:t>　　三、大力推进“四维”创新，全面提升产业发展能力</w:t>
      </w:r>
    </w:p>
    <w:p>
      <w:pPr>
        <w:rPr>
          <w:rFonts w:asciiTheme="minorEastAsia" w:hAnsiTheme="minorEastAsia"/>
          <w:sz w:val="28"/>
          <w:szCs w:val="28"/>
        </w:rPr>
      </w:pPr>
      <w:r>
        <w:rPr>
          <w:rFonts w:asciiTheme="minorEastAsia" w:hAnsiTheme="minorEastAsia"/>
          <w:sz w:val="28"/>
          <w:szCs w:val="28"/>
        </w:rPr>
        <w:t>　　(一)加强新技术研发和应用。以新一代信息技术、先进材料、生命科学等领域为重点，支持企业强化技术创新能力建设，以新技术促进产品升级换代。制定产业技术创新路线图，以企业为主体，统筹布局一批新技术研发应用项目，增强企业知识产权创造能力和新产品开发能力。实施新一代创新载体建设行动，支持企业加大研发投入，建立一批技术创新示范企业；完善企业技术中心功能，将面向生产的技术开发中心升级为新产品创造中心，建设一批“北京创造”标杆企业。针对产业关键共性技术需求，整合产学研创新资源，改造提升工程实验室、工程研究中心等创新平台，在优势领域建设一批国家级和市级制造业创新中心；组建产业创新联盟，建设新型产业技术研究院，为新技术开发应用提供支撑和服务。</w:t>
      </w:r>
    </w:p>
    <w:p>
      <w:pPr>
        <w:rPr>
          <w:rFonts w:asciiTheme="minorEastAsia" w:hAnsiTheme="minorEastAsia"/>
          <w:sz w:val="28"/>
          <w:szCs w:val="28"/>
        </w:rPr>
      </w:pPr>
      <w:r>
        <w:rPr>
          <w:rFonts w:asciiTheme="minorEastAsia" w:hAnsiTheme="minorEastAsia"/>
          <w:sz w:val="28"/>
          <w:szCs w:val="28"/>
        </w:rPr>
        <w:t>　　(二)加大新工艺开发和推广。以智能制造、绿色制造、增材制造为主攻方向，构建基础工艺创新体系。支持电子信息、航空航天、汽车、机械、钢铁、冶金、石化、食品等领域的科研机构和领军企业优化资源布局，联合建设一批关键共性基础工艺研究机构，加强关键制造工艺联合攻关。支持企业开展工艺创新，全面推广应用先进设计技术和新工艺。面向传统制造业绿色化、智能化升级改造需求，开展工艺技术转移和对外辐射服务。强化设计对创新的支撑作用，整合工业、文化、科技等领域的优势设计资源，打造“北京设计”品牌。</w:t>
      </w:r>
    </w:p>
    <w:p>
      <w:pPr>
        <w:rPr>
          <w:rFonts w:asciiTheme="minorEastAsia" w:hAnsiTheme="minorEastAsia"/>
          <w:sz w:val="28"/>
          <w:szCs w:val="28"/>
        </w:rPr>
      </w:pPr>
      <w:r>
        <w:rPr>
          <w:rFonts w:asciiTheme="minorEastAsia" w:hAnsiTheme="minorEastAsia"/>
          <w:sz w:val="28"/>
          <w:szCs w:val="28"/>
        </w:rPr>
        <w:t>　　(三)采用新模式配置资源。优化整合概念创意、产品设计、研发测试、关键零部件生产、产品组装、供应链管理、系统集成、品牌经营、互联网营销等业务环节，重构企业之间、企业与用户之间的关系，创新价值创造模式，推动传统制造业企业实施组织变革。对接国家“智能制造工程”，实施京津冀联网智能制造示范行动，建设一批智能化、生态化的示范工艺线和示范工厂。大力推动自动化、数字化制造技术以及物联网、大数据、云计算等新一代信息技术在制造业的深度应用，推动制造业企业向云制造、分布式制造、生产外包等方向转型。支持有条件的企业建设众创、众包设计平台，推行模块化设计，开发一批拥有自主知识产权的关键设计工具软件，完善创新设计生态系统。支持企业融入全球制造网络，开展海外投资并购，建立研发中心、实验基地和营销渠道，利用代工(OEM)模式与代工企业加强合作，在全球配置制造资源。</w:t>
      </w:r>
    </w:p>
    <w:p>
      <w:pPr>
        <w:rPr>
          <w:rFonts w:asciiTheme="minorEastAsia" w:hAnsiTheme="minorEastAsia"/>
          <w:sz w:val="28"/>
          <w:szCs w:val="28"/>
        </w:rPr>
      </w:pPr>
      <w:r>
        <w:rPr>
          <w:rFonts w:asciiTheme="minorEastAsia" w:hAnsiTheme="minorEastAsia"/>
          <w:sz w:val="28"/>
          <w:szCs w:val="28"/>
        </w:rPr>
        <w:t>　　(四)利用新业态优化企业组织形式。鼓励制造业企业“裂变”专业优势、延伸产业链条、开展跨界合作，加快向服务化制造、平台化经营和个性化服务方向转型，建立服务型制造体系。支持互联网企业与传统制造企业开展跨界合作，推动制造企业发展在线定制、创意设计、远程技术支持、设备生命周期管理等服务。实施生产性服务业公共平台建设行动，积极培育面向制造业的信息技术服务，大力发展技术研发、检验检测、技术评价、技术交易、质量认证等社会化、专业化服务。在相关产业园区引进新业态，使之由产品生产、对外销售的制造重地转型升级为高精尖产品研发、创新设计、对外授权的“北京创造”高地。</w:t>
      </w:r>
    </w:p>
    <w:p>
      <w:pPr>
        <w:rPr>
          <w:rFonts w:asciiTheme="minorEastAsia" w:hAnsiTheme="minorEastAsia"/>
          <w:sz w:val="28"/>
          <w:szCs w:val="28"/>
        </w:rPr>
      </w:pPr>
      <w:r>
        <w:rPr>
          <w:rFonts w:asciiTheme="minorEastAsia" w:hAnsiTheme="minorEastAsia"/>
          <w:sz w:val="28"/>
          <w:szCs w:val="28"/>
        </w:rPr>
        <w:t>　　四、聚焦发展五类产品，全力打造“北京创造”品牌</w:t>
      </w:r>
    </w:p>
    <w:p>
      <w:pPr>
        <w:rPr>
          <w:rFonts w:asciiTheme="minorEastAsia" w:hAnsiTheme="minorEastAsia"/>
          <w:sz w:val="28"/>
          <w:szCs w:val="28"/>
        </w:rPr>
      </w:pPr>
      <w:r>
        <w:rPr>
          <w:rFonts w:asciiTheme="minorEastAsia" w:hAnsiTheme="minorEastAsia"/>
          <w:sz w:val="28"/>
          <w:szCs w:val="28"/>
        </w:rPr>
        <w:t>　　(一)创新前沿产品。聚焦新一代信息技术、新材料技术、智能制造、生命科学等创新前沿领域，率先布局，加快突破，取得一批拥有自主知识产权的原始创新成果。重点布局领域包括：超导材料、纳米材料、石墨烯、生物基材料等新材料产品；高端软件、智能硬件、高性能集成电路等信息技术产品；干细胞、靶向药物、医学影像精密仪器等生物医药产品；北斗导航、无人智能航空器等尖端航空航天产品。</w:t>
      </w:r>
    </w:p>
    <w:p>
      <w:pPr>
        <w:rPr>
          <w:rFonts w:asciiTheme="minorEastAsia" w:hAnsiTheme="minorEastAsia"/>
          <w:sz w:val="28"/>
          <w:szCs w:val="28"/>
        </w:rPr>
      </w:pPr>
      <w:r>
        <w:rPr>
          <w:rFonts w:asciiTheme="minorEastAsia" w:hAnsiTheme="minorEastAsia"/>
          <w:sz w:val="28"/>
          <w:szCs w:val="28"/>
        </w:rPr>
        <w:t>　　(二)关键核心产品。聚焦经济社会发展关键领域，突破一批制约产业发展的“短板”技术和产品，落实国家“工业强基工程”，重点发展关键基础材料和核心基础零部件产品。电子信息领域发展高端芯片、大功率电力电子器件、信息安全及设计工具软件等；装备制造领域发展模拟仿真系统、高性能伺服控制系统、精密仪器仪表等；节能环保领域发展可再生能源和资源综合利用等；汽车领域发展汽车电子、发动机控制系统、新型动力电池等；航空航天领域发展航电系统、地面保障装备等方面的关键核心产品。</w:t>
      </w:r>
    </w:p>
    <w:p>
      <w:pPr>
        <w:rPr>
          <w:rFonts w:asciiTheme="minorEastAsia" w:hAnsiTheme="minorEastAsia"/>
          <w:sz w:val="28"/>
          <w:szCs w:val="28"/>
        </w:rPr>
      </w:pPr>
      <w:r>
        <w:rPr>
          <w:rFonts w:asciiTheme="minorEastAsia" w:hAnsiTheme="minorEastAsia"/>
          <w:sz w:val="28"/>
          <w:szCs w:val="28"/>
        </w:rPr>
        <w:t>　　(三)集成服务产品。以智慧城市、航空航天、轨道交通、医疗健康等领域为重点，提升整机产品系统设计能力，发展智能化、网络化的终端应用服务。支持有条件的企业由提供设备向提供系统集成总承包服务、由提供产品向提供整体解决方案转变，发展设计、测试和运营维护、数据信息等增值服务业态；开展物联网技术的集成应用，提供物联网专业服务和增值服务。</w:t>
      </w:r>
    </w:p>
    <w:p>
      <w:pPr>
        <w:rPr>
          <w:rFonts w:asciiTheme="minorEastAsia" w:hAnsiTheme="minorEastAsia"/>
          <w:sz w:val="28"/>
          <w:szCs w:val="28"/>
        </w:rPr>
      </w:pPr>
      <w:r>
        <w:rPr>
          <w:rFonts w:asciiTheme="minorEastAsia" w:hAnsiTheme="minorEastAsia"/>
          <w:sz w:val="28"/>
          <w:szCs w:val="28"/>
        </w:rPr>
        <w:t>　　(四)设计创意产品。推动文化、科技与制造融合，发展高附加值创意设计产品，重点发展工业设计、工程设计、集成电路设计、软件设计、数字内容等产品，将文化资源优势和工业遗产资源有机结合，发展工艺美术、个性化消费品等都市产品。</w:t>
      </w:r>
    </w:p>
    <w:p>
      <w:pPr>
        <w:rPr>
          <w:rFonts w:asciiTheme="minorEastAsia" w:hAnsiTheme="minorEastAsia"/>
          <w:sz w:val="28"/>
          <w:szCs w:val="28"/>
        </w:rPr>
      </w:pPr>
      <w:r>
        <w:rPr>
          <w:rFonts w:asciiTheme="minorEastAsia" w:hAnsiTheme="minorEastAsia"/>
          <w:sz w:val="28"/>
          <w:szCs w:val="28"/>
        </w:rPr>
        <w:t>　　(五)名优民生产品。围绕城市应急、社会公共品提供、环境治理服务以及居民服务等领域，适度发展贴近市场需要、符合首都资源环境要求的优质名牌民生产品。积极发展品牌体验消费经济，做强北京“老字号”产品，开发新一代消费产品。通过实施高精尖产品培育及品牌建设行动，加快实现由“北京制造”向“北京创造”转型。</w:t>
      </w:r>
    </w:p>
    <w:p>
      <w:pPr>
        <w:rPr>
          <w:rFonts w:asciiTheme="minorEastAsia" w:hAnsiTheme="minorEastAsia"/>
          <w:sz w:val="28"/>
          <w:szCs w:val="28"/>
        </w:rPr>
      </w:pPr>
      <w:r>
        <w:rPr>
          <w:rFonts w:asciiTheme="minorEastAsia" w:hAnsiTheme="minorEastAsia"/>
          <w:sz w:val="28"/>
          <w:szCs w:val="28"/>
        </w:rPr>
        <w:t>　　五、组织实施八个专项，带动实现重点领域突破</w:t>
      </w:r>
    </w:p>
    <w:p>
      <w:pPr>
        <w:rPr>
          <w:rFonts w:asciiTheme="minorEastAsia" w:hAnsiTheme="minorEastAsia"/>
          <w:sz w:val="28"/>
          <w:szCs w:val="28"/>
        </w:rPr>
      </w:pPr>
      <w:r>
        <w:rPr>
          <w:rFonts w:asciiTheme="minorEastAsia" w:hAnsiTheme="minorEastAsia"/>
          <w:sz w:val="28"/>
          <w:szCs w:val="28"/>
        </w:rPr>
        <w:t>　　(一)新能源智能汽车专项。坚持纯电驱动技术路线，依托龙头企业和产业技术创新联盟，转变传统汽车设计、研发、制造理念，创新产业发展和商业运营模式，培育全球领先的新能源汽车领军企业。以开发符合市场需求的智能网联新能源汽车产品为重点，集合电子科技、先进材料、传感器、车联网、智慧出行、辅助驾驶等技术，建立开放式协同创新平台，集中建设涵盖新能源汽车设计、试验试制及体验、示范等功能的科技创新资源聚集高地，打造全新产业生态。利用10年左右时间，将北京打造成为国内领先、世界一流的新能源汽车科技创新中心。</w:t>
      </w:r>
    </w:p>
    <w:p>
      <w:pPr>
        <w:rPr>
          <w:rFonts w:asciiTheme="minorEastAsia" w:hAnsiTheme="minorEastAsia"/>
          <w:sz w:val="28"/>
          <w:szCs w:val="28"/>
        </w:rPr>
      </w:pPr>
      <w:r>
        <w:rPr>
          <w:rFonts w:asciiTheme="minorEastAsia" w:hAnsiTheme="minorEastAsia"/>
          <w:sz w:val="28"/>
          <w:szCs w:val="28"/>
        </w:rPr>
        <w:t>　　(二)集成电路专项。以满足移动、泛在的智能终端产品对芯片小型化、微型化的需求为方向，聚焦存储器、中央处理器、移动通信、图像处理、驱动电路等芯片，以加快推进14纳米先进工艺技术研发及生产线建设为切入点，带动装备资源整合以及电子设计自动化、知识产权(IP)库和专利池建设。通过实施本专项，优化集成电路制造基地布局，带动京津冀集成电路产业协同发展，在新一代集成电路关键核心技术上取得突破性进展，实现集成电路制造由代工向创造转型。</w:t>
      </w:r>
    </w:p>
    <w:p>
      <w:pPr>
        <w:rPr>
          <w:rFonts w:asciiTheme="minorEastAsia" w:hAnsiTheme="minorEastAsia"/>
          <w:sz w:val="28"/>
          <w:szCs w:val="28"/>
        </w:rPr>
      </w:pPr>
      <w:r>
        <w:rPr>
          <w:rFonts w:asciiTheme="minorEastAsia" w:hAnsiTheme="minorEastAsia"/>
          <w:sz w:val="28"/>
          <w:szCs w:val="28"/>
        </w:rPr>
        <w:t>　　(三)智能制造系统和服务专项。以巩固提升智能装备系统、推广应用智能制造模式为切入点，重点发展传感器、智能仪控系统等核心装置和智能机器人、高档数控机床、三维打印设备等高端智能装备，推动数字化车间、智能工厂和工业互联网的广泛应用。通过实施本专项，提高重点行业智能制造系统的集成服务能力，使本市成为全国智能制造创新总部、示范应用中心和系统解决方案的策源地。</w:t>
      </w:r>
    </w:p>
    <w:p>
      <w:pPr>
        <w:rPr>
          <w:rFonts w:asciiTheme="minorEastAsia" w:hAnsiTheme="minorEastAsia"/>
          <w:sz w:val="28"/>
          <w:szCs w:val="28"/>
        </w:rPr>
      </w:pPr>
      <w:r>
        <w:rPr>
          <w:rFonts w:asciiTheme="minorEastAsia" w:hAnsiTheme="minorEastAsia"/>
          <w:sz w:val="28"/>
          <w:szCs w:val="28"/>
        </w:rPr>
        <w:t>　　(四)自主可控信息系统专项。以金融、电信、工业等行业的自主可控信息系统和安全云服务为切入点，加强集成适配和联合攻关，构建包括应用软件、基础软硬件、网络和安全设备、信息安全服务等的一体化自主可控产品体系。通过实施本专项，建立包括行业应用开发、开源软件再创新、自主核心技术研发等体系在内的自主可控信息产业生态，建成完善的可信计算产业价值链，为保障国家重大信息系统安全提供有力支撑。</w:t>
      </w:r>
    </w:p>
    <w:p>
      <w:pPr>
        <w:rPr>
          <w:rFonts w:asciiTheme="minorEastAsia" w:hAnsiTheme="minorEastAsia"/>
          <w:sz w:val="28"/>
          <w:szCs w:val="28"/>
        </w:rPr>
      </w:pPr>
      <w:r>
        <w:rPr>
          <w:rFonts w:asciiTheme="minorEastAsia" w:hAnsiTheme="minorEastAsia"/>
          <w:sz w:val="28"/>
          <w:szCs w:val="28"/>
        </w:rPr>
        <w:t>　　(五)云计算与大数据专项。以完善云计算平台建设和加强大数据智能应用为切入点，着力建设战略性公有云平台，构建大数据智能应用生态。通过公有云平台建设，带动云服务器、云平台软件以及云服务企业发展，成为全国云计算解决方案研制中心和云服务汇聚中心；围绕大数据智能应用，带动物联网产业发展，突破人工智能关键技术；深入挖掘数据价值，大力推动智能制造、教育、交通、医疗、城市运行管理等重点领域的大数据应用。通过实施本专项，建成具有国际竞争力的公有云平台，培育一批国内领先的大数据技术和应用服务企业，带动新一代互联网产业蓬勃发展。</w:t>
      </w:r>
    </w:p>
    <w:p>
      <w:pPr>
        <w:rPr>
          <w:rFonts w:asciiTheme="minorEastAsia" w:hAnsiTheme="minorEastAsia"/>
          <w:sz w:val="28"/>
          <w:szCs w:val="28"/>
        </w:rPr>
      </w:pPr>
      <w:r>
        <w:rPr>
          <w:rFonts w:asciiTheme="minorEastAsia" w:hAnsiTheme="minorEastAsia"/>
          <w:sz w:val="28"/>
          <w:szCs w:val="28"/>
        </w:rPr>
        <w:t>　　(六)新一代移动互联网专项。以打造自主移动互联网平台和实现关键元器件进口替代为切入点，加强开源操作系统、自主操作系统与本地芯片的协同设计，强化自主移动通信核心技术研发及标准制定，建设世界领先的商业化移动互联网平台以及行业自主安全移动互联网平台，开发可穿戴设备、智能家居等新兴移动终端产品，培育基于移动平台应用的智能硬件产业生态。通过实施本专项，突破关键元器件发展短板，形成产业优势，培育一批对供应链和价值链具有掌控能力的平台型企业，带动京津冀地区形成全国领先的移动互联网产业集群。</w:t>
      </w:r>
    </w:p>
    <w:p>
      <w:pPr>
        <w:rPr>
          <w:rFonts w:asciiTheme="minorEastAsia" w:hAnsiTheme="minorEastAsia"/>
          <w:sz w:val="28"/>
          <w:szCs w:val="28"/>
        </w:rPr>
      </w:pPr>
      <w:r>
        <w:rPr>
          <w:rFonts w:asciiTheme="minorEastAsia" w:hAnsiTheme="minorEastAsia"/>
          <w:sz w:val="28"/>
          <w:szCs w:val="28"/>
        </w:rPr>
        <w:t>　　(七)新一代健康诊疗与服务专项。围绕大健康产业的新需求，以重点疾病的预防、诊断、治疗和康复为切入点，大力推动新型药物、生物医学工程及基因检测技术等创新成果的产业化，开发基于“互联网+”的智能健康产品，建设自我健康管理、早期预防、远程医疗和医药电子商务相结合的大健康服务体系。通过实施本专项，基本形成以诊断试剂、创新药物、高端医疗器械及智能健康服务为主的新型产业体系，推动健康服务业态快速发展，形成新一代健康诊疗与服务产业的发展优势。</w:t>
      </w:r>
    </w:p>
    <w:p>
      <w:pPr>
        <w:rPr>
          <w:rFonts w:asciiTheme="minorEastAsia" w:hAnsiTheme="minorEastAsia"/>
          <w:sz w:val="28"/>
          <w:szCs w:val="28"/>
        </w:rPr>
      </w:pPr>
      <w:r>
        <w:rPr>
          <w:rFonts w:asciiTheme="minorEastAsia" w:hAnsiTheme="minorEastAsia"/>
          <w:sz w:val="28"/>
          <w:szCs w:val="28"/>
        </w:rPr>
        <w:t>　　(八)通用航空与卫星应用专项。以通用航空运营体系建设、卫星技术转化应用为切入点，在航空航天领域主要围绕关键技术与产品、城市及区域服务保障、通用航空消费等重点，聚焦发展研发试制、运营服务、商务金融等高端环节，开发通用航空安全运行监管系统、自主安全可信的无人机飞控系统等产品，完善应急救援、商务飞行等运营服务体系。在卫星应用领域主要围绕低轨卫星宽带通信、卫星遥感、卫星导航技术的产业化，提高军民两用技术研发转化能力，大力发展卫星地面设备和卫星应用服务，开发空天地一体化信息网络、多源融合高精度遥感应用等技术。通过实施本专项，建立覆盖高端研发、系统集成、关键子系统制造、技术示范应用和服务保障的产业技术和价值链，建成特色鲜明、体系健全、重点突出、融合发展、国际领先的航空航天研发应用中心。</w:t>
      </w:r>
    </w:p>
    <w:p>
      <w:pPr>
        <w:rPr>
          <w:rFonts w:asciiTheme="minorEastAsia" w:hAnsiTheme="minorEastAsia"/>
          <w:sz w:val="28"/>
          <w:szCs w:val="28"/>
        </w:rPr>
      </w:pPr>
      <w:r>
        <w:rPr>
          <w:rFonts w:asciiTheme="minorEastAsia" w:hAnsiTheme="minorEastAsia"/>
          <w:sz w:val="28"/>
          <w:szCs w:val="28"/>
        </w:rPr>
        <w:t>　　六、加大改革创新力度，切实保障制造业转型发展</w:t>
      </w:r>
    </w:p>
    <w:p>
      <w:pPr>
        <w:rPr>
          <w:rFonts w:asciiTheme="minorEastAsia" w:hAnsiTheme="minorEastAsia"/>
          <w:sz w:val="28"/>
          <w:szCs w:val="28"/>
        </w:rPr>
      </w:pPr>
      <w:r>
        <w:rPr>
          <w:rFonts w:asciiTheme="minorEastAsia" w:hAnsiTheme="minorEastAsia"/>
          <w:sz w:val="28"/>
          <w:szCs w:val="28"/>
        </w:rPr>
        <w:t>　　(一)建立统筹推进机制。建立市级层面的统筹机制，充分发挥好顶层设计、政策整合、统筹协调的作用。建立由国内外技术、产业专家和企业家组成的专家顾问组，围绕8个建设专项选聘首席专家，指导各专项的实施。建立全市高精尖产业项目布局引导机制，以产业园区为载体，加快推进重大项目落地。市经济信息化委要会同相关部门出台配套政策文件，加强跟踪分析和督促指导。各区政府、各有关部门要健全工作机制，制定具体方案，细化政策措施，确保各项任务落到实处。</w:t>
      </w:r>
    </w:p>
    <w:p>
      <w:pPr>
        <w:rPr>
          <w:rFonts w:asciiTheme="minorEastAsia" w:hAnsiTheme="minorEastAsia"/>
          <w:sz w:val="28"/>
          <w:szCs w:val="28"/>
        </w:rPr>
      </w:pPr>
      <w:r>
        <w:rPr>
          <w:rFonts w:asciiTheme="minorEastAsia" w:hAnsiTheme="minorEastAsia"/>
          <w:sz w:val="28"/>
          <w:szCs w:val="28"/>
        </w:rPr>
        <w:t>　　(二)改革行业指导制度。制定高精尖产业统计划分标准，统筹考虑产业发展的经济、社会和资源环境效益，综合土地、水、能源资源以及就业、税收等因素，建立规模、速度、效益相适应的产业发展综合评价体系。确定转型升级指导线，发布产业转移疏解和技术改造指导目录，引导企业有序推进产能转移、加强技术改造升级。建立高精尖产业发展“优选线”制度，按照高于国家标准的原则提出新实施高精尖产品项目的技术水平要求、环境保护和土地利用限制条件，并开展综合评估，达到“优选线”标准的项目给予优先支持。</w:t>
      </w:r>
    </w:p>
    <w:p>
      <w:pPr>
        <w:rPr>
          <w:rFonts w:asciiTheme="minorEastAsia" w:hAnsiTheme="minorEastAsia"/>
          <w:sz w:val="28"/>
          <w:szCs w:val="28"/>
        </w:rPr>
      </w:pPr>
      <w:r>
        <w:rPr>
          <w:rFonts w:asciiTheme="minorEastAsia" w:hAnsiTheme="minorEastAsia"/>
          <w:sz w:val="28"/>
          <w:szCs w:val="28"/>
        </w:rPr>
        <w:t>　　(三)增强产业资本运作能力。发挥财政资金的引导作用，按照政府引导、市场运作、科学决策、防范风险的原则，设立高精尖产业发展基金，以股权投资为主要方式，引导社会资本参与相关建设专项和重点项目。加大对企业技术改造的支持力度，将企业技术改造投资作为工业固定资产投资的主要方向，并充分发挥境内外多层次资本市场作用，支持大型企业通过资本市场优化配置创新资源。围绕制造业转型升级，与国家政策性银行开展战略合作，引导风险投资、私募股权投资等支持制造业企业创新发展，鼓励符合条件的制造业贷款和租赁资产开展证券化试点。选择骨干企业开展“产融结合”试点，推广面向制造业企业的融资租赁服务。</w:t>
      </w:r>
    </w:p>
    <w:p>
      <w:pPr>
        <w:rPr>
          <w:rFonts w:asciiTheme="minorEastAsia" w:hAnsiTheme="minorEastAsia"/>
          <w:sz w:val="28"/>
          <w:szCs w:val="28"/>
        </w:rPr>
      </w:pPr>
      <w:r>
        <w:rPr>
          <w:rFonts w:asciiTheme="minorEastAsia" w:hAnsiTheme="minorEastAsia"/>
          <w:sz w:val="28"/>
          <w:szCs w:val="28"/>
        </w:rPr>
        <w:t>　　(四)搭建产业升级服务平台。围绕信息化与工业化融合、品牌质量建设、工业设计水平提升等方面，搭建专业服务平台，推动关键环节实现突破。加强知识产权创造与管理，建设专利信息利用等知识产权公共服务平台，加强重点领域的专利组合布局及专利池建设，推动专利与标准有效融合。围绕项目发现、孵化和推广，搭建多种形式的高精尖产业投资互动与对接服务平台。支持行业联盟、技术服务组织、国际标准化组织等服务机构发展，以智能制造为重点，开展技术标准、信息化与工业化融合管理标准的创制服务活动。争创国家高端装备制造业标准化工作试点。</w:t>
      </w:r>
    </w:p>
    <w:p>
      <w:pPr>
        <w:rPr>
          <w:rFonts w:asciiTheme="minorEastAsia" w:hAnsiTheme="minorEastAsia"/>
          <w:sz w:val="28"/>
          <w:szCs w:val="28"/>
        </w:rPr>
      </w:pPr>
      <w:r>
        <w:rPr>
          <w:rFonts w:asciiTheme="minorEastAsia" w:hAnsiTheme="minorEastAsia"/>
          <w:sz w:val="28"/>
          <w:szCs w:val="28"/>
        </w:rPr>
        <w:t>　　(五)支持企业国际化发展。紧紧抓住国家实施“一带一路”发展战略的历史机遇，以提升“北京创造”品牌世界影响力为核心，建立多层次、多渠道、多方式的国际合作与交流机制。鼓励企业通过收购兼并、联合经营、设立分支机构和研发中心等方式积极拓展国际市场，构建国际化的资源配置体系。鼓励和引导外资投向高精尖产业，引入国际创新成果。围绕关键技术和重点发展领域，加快引进海外高层次人才。鼓励政府机构、产业联盟、行业协会及相关中介机构为企业“走出去”提供信息咨询、法律援助、技术转让和知识产权海外布局与风险预警等服务。</w:t>
      </w:r>
    </w:p>
    <w:p>
      <w:pPr>
        <w:ind w:firstLine="570"/>
        <w:rPr>
          <w:rFonts w:asciiTheme="minorEastAsia" w:hAnsiTheme="minorEastAsia"/>
          <w:sz w:val="28"/>
          <w:szCs w:val="28"/>
        </w:rPr>
      </w:pPr>
      <w:r>
        <w:rPr>
          <w:rFonts w:asciiTheme="minorEastAsia" w:hAnsiTheme="minorEastAsia"/>
          <w:sz w:val="28"/>
          <w:szCs w:val="28"/>
        </w:rPr>
        <w:t>(六)完善各项支持政策。充分发挥中关村国家自主创新示范区先行先试优势，推动相关先行先试政策向高精尖产业倾斜。支持在京中央企业、高等学校、科研院所加快创新转型，推动中央及市属国有企业与民营、外资企业开展协同创新。研究制定优化产业布局方案，探索加快工业用地循环利用机制，推广先出租后出让、出租出让相结合、弹性出让等供地方式，加强对高精尖产业的用地保障。统筹考虑全市人口调控、制造业转型发展和高精尖产业培育需要等因素，加强人才发展的综合规划和分类指导，选择若干产业园区开展高精尖人才置换发展试点。组织开展多种形式的宣传引导，营造加快发展高精尖产业的良好氛围。</w:t>
      </w:r>
    </w:p>
    <w:p>
      <w:pPr>
        <w:jc w:val="left"/>
        <w:rPr>
          <w:b/>
        </w:rPr>
      </w:pPr>
      <w:r>
        <w:rPr>
          <w:b/>
        </w:rPr>
        <w:t>来源：北京市人民政府办公厅</w:t>
      </w:r>
    </w:p>
    <w:p>
      <w:pPr>
        <w:pStyle w:val="3"/>
        <w:jc w:val="center"/>
      </w:pPr>
      <w:bookmarkStart w:id="78" w:name="_Toc446322483"/>
      <w:bookmarkStart w:id="79" w:name="_Toc446326756"/>
      <w:bookmarkStart w:id="80" w:name="_Toc446330625"/>
      <w:bookmarkStart w:id="81" w:name="_Toc446324686"/>
      <w:bookmarkStart w:id="82" w:name="_Toc446330728"/>
      <w:r>
        <w:rPr>
          <w:rFonts w:hint="eastAsia"/>
        </w:rPr>
        <w:t>工业和信息化部中国人民银行</w:t>
      </w:r>
      <w:r>
        <w:t> </w:t>
      </w:r>
      <w:r>
        <w:rPr>
          <w:rFonts w:hint="eastAsia"/>
        </w:rPr>
        <w:t>中国银行业监督管理委员会关于印发《加强信息共享</w:t>
      </w:r>
      <w:r>
        <w:t> </w:t>
      </w:r>
      <w:r>
        <w:rPr>
          <w:rFonts w:hint="eastAsia"/>
        </w:rPr>
        <w:t>促进产融合作行动方案》的通知</w:t>
      </w:r>
      <w:bookmarkEnd w:id="78"/>
      <w:bookmarkEnd w:id="79"/>
      <w:bookmarkEnd w:id="80"/>
      <w:bookmarkEnd w:id="81"/>
      <w:bookmarkEnd w:id="82"/>
    </w:p>
    <w:p>
      <w:pPr>
        <w:jc w:val="center"/>
        <w:rPr>
          <w:rFonts w:asciiTheme="minorEastAsia" w:hAnsiTheme="minorEastAsia"/>
          <w:sz w:val="28"/>
          <w:szCs w:val="28"/>
        </w:rPr>
      </w:pPr>
      <w:r>
        <w:rPr>
          <w:rFonts w:hint="eastAsia" w:asciiTheme="minorEastAsia" w:hAnsiTheme="minorEastAsia"/>
          <w:sz w:val="28"/>
          <w:szCs w:val="28"/>
        </w:rPr>
        <w:t>工信部联财[2016]83号</w:t>
      </w:r>
    </w:p>
    <w:p>
      <w:pPr>
        <w:pStyle w:val="12"/>
        <w:shd w:val="clear" w:color="auto" w:fill="F9F9F9"/>
        <w:spacing w:before="0" w:beforeAutospacing="0" w:after="0" w:afterAutospacing="0" w:line="500" w:lineRule="exact"/>
        <w:ind w:firstLine="480"/>
        <w:jc w:val="center"/>
        <w:rPr>
          <w:color w:val="070707"/>
          <w:sz w:val="21"/>
          <w:szCs w:val="21"/>
        </w:rPr>
      </w:pPr>
      <w:r>
        <w:rPr>
          <w:rFonts w:hint="eastAsia"/>
          <w:color w:val="070707"/>
          <w:sz w:val="21"/>
          <w:szCs w:val="21"/>
        </w:rPr>
        <w:t>   </w:t>
      </w:r>
    </w:p>
    <w:p>
      <w:pPr>
        <w:spacing w:line="500" w:lineRule="exact"/>
        <w:rPr>
          <w:rFonts w:asciiTheme="minorEastAsia" w:hAnsiTheme="minorEastAsia"/>
          <w:sz w:val="28"/>
          <w:szCs w:val="28"/>
        </w:rPr>
      </w:pPr>
      <w:r>
        <w:rPr>
          <w:rFonts w:hint="eastAsia" w:asciiTheme="minorEastAsia" w:hAnsiTheme="minorEastAsia"/>
          <w:sz w:val="28"/>
          <w:szCs w:val="28"/>
        </w:rPr>
        <w:t>各省、自治区、直辖市、计划单列市工业和信息化主管部门，新疆生产建设兵团工业和信息化主管部门，中国人民银行上海总部，各分行、营业管理部、各省会（首府）城市中心支行、各副省级城市中心支行，各银监局，各政策性银行、大型银行、股份制银行，邮政储蓄银行，有关中央企业： </w:t>
      </w:r>
    </w:p>
    <w:p>
      <w:pPr>
        <w:spacing w:line="500" w:lineRule="exact"/>
        <w:ind w:firstLine="560" w:firstLineChars="200"/>
        <w:rPr>
          <w:rFonts w:asciiTheme="minorEastAsia" w:hAnsiTheme="minorEastAsia"/>
          <w:sz w:val="28"/>
          <w:szCs w:val="28"/>
        </w:rPr>
      </w:pPr>
      <w:r>
        <w:rPr>
          <w:rFonts w:hint="eastAsia" w:asciiTheme="minorEastAsia" w:hAnsiTheme="minorEastAsia"/>
          <w:sz w:val="28"/>
          <w:szCs w:val="28"/>
        </w:rPr>
        <w:t>为贯彻落实国务院有关工作部署,积极推进供给侧结构性改革，增强金融支持政策的导向性、针对性、有效性和可操作性，支持《中国制造2025》加快实施，促进工业稳增长调结构增效益，工业和信息化部、中国人民银行、中国银行业监督管理委员会制定了《加强信息共享促进产融合作行动方案》，现予印发，请遵照执行。</w:t>
      </w:r>
    </w:p>
    <w:p>
      <w:pPr>
        <w:spacing w:line="500" w:lineRule="exact"/>
        <w:ind w:firstLine="560" w:firstLineChars="200"/>
        <w:rPr>
          <w:rFonts w:asciiTheme="minorEastAsia" w:hAnsiTheme="minorEastAsia"/>
          <w:sz w:val="28"/>
          <w:szCs w:val="28"/>
        </w:rPr>
      </w:pPr>
      <w:r>
        <w:rPr>
          <w:rFonts w:hint="eastAsia" w:asciiTheme="minorEastAsia" w:hAnsiTheme="minorEastAsia"/>
          <w:sz w:val="28"/>
          <w:szCs w:val="28"/>
        </w:rPr>
        <w:t>促进产融合作，是通过建立银企交流机制，强化信息交流共享，促进金融资源向实体经济企业集聚的有效途径，有利于提高金融资源配置效率，有利于实现产业与金融协调发展、互利共赢，有利于推进制造强国和网络强国建设。各地要高度重视，建立和完善产融合作工作机制，加强组织领导，创新方式方法，采取多种有效形式开展银企信息对接活动，深入开展产融合作，为产业提质增效、转型升级创造良好的融资环境。</w:t>
      </w:r>
    </w:p>
    <w:p>
      <w:pPr>
        <w:spacing w:line="500" w:lineRule="exact"/>
        <w:rPr>
          <w:rFonts w:asciiTheme="minorEastAsia" w:hAnsiTheme="minorEastAsia"/>
          <w:sz w:val="28"/>
          <w:szCs w:val="28"/>
        </w:rPr>
      </w:pPr>
    </w:p>
    <w:p>
      <w:pPr>
        <w:spacing w:line="500" w:lineRule="exact"/>
        <w:jc w:val="right"/>
        <w:rPr>
          <w:rFonts w:asciiTheme="minorEastAsia" w:hAnsiTheme="minorEastAsia"/>
          <w:sz w:val="28"/>
          <w:szCs w:val="28"/>
        </w:rPr>
      </w:pPr>
      <w:r>
        <w:rPr>
          <w:rFonts w:hint="eastAsia" w:asciiTheme="minorEastAsia" w:hAnsiTheme="minorEastAsia"/>
          <w:sz w:val="28"/>
          <w:szCs w:val="28"/>
        </w:rPr>
        <w:t>2016年3月2日</w:t>
      </w:r>
    </w:p>
    <w:p>
      <w:pPr>
        <w:spacing w:line="500" w:lineRule="exact"/>
        <w:rPr>
          <w:rFonts w:asciiTheme="minorEastAsia" w:hAnsiTheme="minorEastAsia"/>
          <w:b/>
          <w:sz w:val="28"/>
          <w:szCs w:val="28"/>
        </w:rPr>
      </w:pPr>
    </w:p>
    <w:p>
      <w:pPr>
        <w:spacing w:line="500" w:lineRule="exact"/>
        <w:rPr>
          <w:rFonts w:asciiTheme="minorEastAsia" w:hAnsiTheme="minorEastAsia"/>
          <w:b/>
          <w:sz w:val="28"/>
          <w:szCs w:val="28"/>
        </w:rPr>
      </w:pPr>
    </w:p>
    <w:p>
      <w:pPr>
        <w:spacing w:line="500" w:lineRule="exact"/>
        <w:jc w:val="center"/>
        <w:rPr>
          <w:rFonts w:asciiTheme="minorEastAsia" w:hAnsiTheme="minorEastAsia"/>
          <w:b/>
          <w:sz w:val="28"/>
          <w:szCs w:val="28"/>
        </w:rPr>
      </w:pPr>
      <w:r>
        <w:rPr>
          <w:rFonts w:hint="eastAsia" w:asciiTheme="minorEastAsia" w:hAnsiTheme="minorEastAsia"/>
          <w:b/>
          <w:sz w:val="28"/>
          <w:szCs w:val="28"/>
        </w:rPr>
        <w:t>加强信息共享促进产融合作行动方案</w:t>
      </w:r>
    </w:p>
    <w:p>
      <w:pPr>
        <w:spacing w:line="500" w:lineRule="exact"/>
        <w:rPr>
          <w:rFonts w:asciiTheme="minorEastAsia" w:hAnsiTheme="minorEastAsia"/>
          <w:sz w:val="28"/>
          <w:szCs w:val="28"/>
        </w:rPr>
      </w:pPr>
      <w:r>
        <w:rPr>
          <w:rFonts w:hint="eastAsia" w:asciiTheme="minorEastAsia" w:hAnsiTheme="minorEastAsia"/>
          <w:sz w:val="28"/>
          <w:szCs w:val="28"/>
        </w:rPr>
        <w:t> </w:t>
      </w:r>
    </w:p>
    <w:p>
      <w:pPr>
        <w:spacing w:line="500" w:lineRule="exact"/>
        <w:ind w:firstLine="560" w:firstLineChars="200"/>
        <w:rPr>
          <w:rFonts w:asciiTheme="minorEastAsia" w:hAnsiTheme="minorEastAsia"/>
          <w:sz w:val="28"/>
          <w:szCs w:val="28"/>
        </w:rPr>
      </w:pPr>
      <w:r>
        <w:rPr>
          <w:rFonts w:hint="eastAsia" w:asciiTheme="minorEastAsia" w:hAnsiTheme="minorEastAsia"/>
          <w:sz w:val="28"/>
          <w:szCs w:val="28"/>
        </w:rPr>
        <w:t>为贯彻落实国务院有关工作部署,积极推进供给侧结构性改革，支持《中国制造2025》加快实施，促进工业稳增长、调结构、增效益，工业和信息化部、中国人民银行、中国银行业监督管理委员会决定建立产融信息对接工作机制，强化信息共享，促进政策协同，提升金融服务实体经济的能力和效率，引导产业与金融协调发展、互利共赢，推动产业提质增效、转型升级。</w:t>
      </w:r>
    </w:p>
    <w:p>
      <w:pPr>
        <w:spacing w:line="500" w:lineRule="exact"/>
        <w:rPr>
          <w:rFonts w:asciiTheme="minorEastAsia" w:hAnsiTheme="minorEastAsia"/>
          <w:b/>
          <w:sz w:val="28"/>
          <w:szCs w:val="28"/>
        </w:rPr>
      </w:pPr>
      <w:r>
        <w:rPr>
          <w:rFonts w:hint="eastAsia" w:asciiTheme="minorEastAsia" w:hAnsiTheme="minorEastAsia"/>
          <w:b/>
          <w:sz w:val="28"/>
          <w:szCs w:val="28"/>
        </w:rPr>
        <w:t>一、建立重点企业和重点项目融资信息对接清单</w:t>
      </w:r>
      <w:r>
        <w:rPr>
          <w:rFonts w:hint="eastAsia" w:asciiTheme="minorEastAsia" w:hAnsiTheme="minorEastAsia"/>
          <w:sz w:val="28"/>
          <w:szCs w:val="28"/>
        </w:rPr>
        <w:t> </w:t>
      </w:r>
    </w:p>
    <w:p>
      <w:pPr>
        <w:spacing w:line="500" w:lineRule="exact"/>
        <w:ind w:firstLine="560" w:firstLineChars="200"/>
        <w:rPr>
          <w:rFonts w:asciiTheme="minorEastAsia" w:hAnsiTheme="minorEastAsia"/>
          <w:sz w:val="28"/>
          <w:szCs w:val="28"/>
        </w:rPr>
      </w:pPr>
      <w:r>
        <w:rPr>
          <w:rFonts w:hint="eastAsia" w:asciiTheme="minorEastAsia" w:hAnsiTheme="minorEastAsia"/>
          <w:sz w:val="28"/>
          <w:szCs w:val="28"/>
        </w:rPr>
        <w:t>（一）发挥工业和信息化主管部门的优势，及时汇总纳入政府支持、有融资需求的重点企业和重点项目，并结合产业政策、产业发展方向、产业规划布局等对企业融资需求进行分析、评估和筛选，形成重点企业和重点项目融资信息对接清单，为银行业金融机构实施差别化信贷政策提供参考。</w:t>
      </w:r>
    </w:p>
    <w:p>
      <w:pPr>
        <w:spacing w:line="500" w:lineRule="exact"/>
        <w:ind w:firstLine="560" w:firstLineChars="200"/>
        <w:rPr>
          <w:rFonts w:asciiTheme="minorEastAsia" w:hAnsiTheme="minorEastAsia"/>
          <w:sz w:val="28"/>
          <w:szCs w:val="28"/>
        </w:rPr>
      </w:pPr>
      <w:r>
        <w:rPr>
          <w:rFonts w:hint="eastAsia" w:asciiTheme="minorEastAsia" w:hAnsiTheme="minorEastAsia"/>
          <w:sz w:val="28"/>
          <w:szCs w:val="28"/>
        </w:rPr>
        <w:t>（二）中国人民银行、中国银行业监督管理委员会引导银行业金融机构主动对接重点企业和重点项目融资需求，银行业金融机构按照自主决策、风险可控、商业可持续的原则，对符合信贷条件的重点企业和重点项目，积极给予支持，提高金融服务效率。</w:t>
      </w:r>
    </w:p>
    <w:p>
      <w:pPr>
        <w:spacing w:line="500" w:lineRule="exact"/>
        <w:rPr>
          <w:rFonts w:asciiTheme="minorEastAsia" w:hAnsiTheme="minorEastAsia"/>
          <w:b/>
          <w:sz w:val="28"/>
          <w:szCs w:val="28"/>
        </w:rPr>
      </w:pPr>
      <w:r>
        <w:rPr>
          <w:rFonts w:hint="eastAsia" w:asciiTheme="minorEastAsia" w:hAnsiTheme="minorEastAsia"/>
          <w:b/>
          <w:sz w:val="28"/>
          <w:szCs w:val="28"/>
        </w:rPr>
        <w:t>二、建立产融信息对接服务平台</w:t>
      </w:r>
      <w:r>
        <w:rPr>
          <w:rFonts w:hint="eastAsia" w:asciiTheme="minorEastAsia" w:hAnsiTheme="minorEastAsia"/>
          <w:sz w:val="28"/>
          <w:szCs w:val="28"/>
        </w:rPr>
        <w:t> </w:t>
      </w:r>
    </w:p>
    <w:p>
      <w:pPr>
        <w:spacing w:line="500" w:lineRule="exact"/>
        <w:ind w:firstLine="560" w:firstLineChars="200"/>
        <w:rPr>
          <w:rFonts w:asciiTheme="minorEastAsia" w:hAnsiTheme="minorEastAsia"/>
          <w:sz w:val="28"/>
          <w:szCs w:val="28"/>
        </w:rPr>
      </w:pPr>
      <w:r>
        <w:rPr>
          <w:rFonts w:hint="eastAsia" w:asciiTheme="minorEastAsia" w:hAnsiTheme="minorEastAsia"/>
          <w:sz w:val="28"/>
          <w:szCs w:val="28"/>
        </w:rPr>
        <w:t>（三）充分利用大数据、云计算等信息技术手段，依托各地工业和信息化系统，建立产融信息对接服务平台，建立方便、快捷、高效的信息沟通交流渠道，实现企业融资需求网上申请、即时汇总、分类整理、及时推荐，提高产融信息对接效率。</w:t>
      </w:r>
    </w:p>
    <w:p>
      <w:pPr>
        <w:spacing w:line="500" w:lineRule="exact"/>
        <w:ind w:firstLine="560" w:firstLineChars="200"/>
        <w:rPr>
          <w:rFonts w:asciiTheme="minorEastAsia" w:hAnsiTheme="minorEastAsia"/>
          <w:sz w:val="28"/>
          <w:szCs w:val="28"/>
        </w:rPr>
      </w:pPr>
      <w:r>
        <w:rPr>
          <w:rFonts w:hint="eastAsia" w:asciiTheme="minorEastAsia" w:hAnsiTheme="minorEastAsia"/>
          <w:sz w:val="28"/>
          <w:szCs w:val="28"/>
        </w:rPr>
        <w:t>（四）工业和信息化部及时发布产业政策、产业规划等信息，方便企业及时了解产业政策动向，促进金融机构及时制定有针对性的行业信贷政策。</w:t>
      </w:r>
    </w:p>
    <w:p>
      <w:pPr>
        <w:spacing w:line="500" w:lineRule="exact"/>
        <w:ind w:firstLine="560" w:firstLineChars="200"/>
        <w:rPr>
          <w:rFonts w:asciiTheme="minorEastAsia" w:hAnsiTheme="minorEastAsia"/>
          <w:sz w:val="28"/>
          <w:szCs w:val="28"/>
        </w:rPr>
      </w:pPr>
      <w:r>
        <w:rPr>
          <w:rFonts w:hint="eastAsia" w:asciiTheme="minorEastAsia" w:hAnsiTheme="minorEastAsia"/>
          <w:sz w:val="28"/>
          <w:szCs w:val="28"/>
        </w:rPr>
        <w:t> </w:t>
      </w:r>
    </w:p>
    <w:p>
      <w:pPr>
        <w:spacing w:line="500" w:lineRule="exact"/>
        <w:rPr>
          <w:rFonts w:asciiTheme="minorEastAsia" w:hAnsiTheme="minorEastAsia"/>
          <w:b/>
          <w:sz w:val="28"/>
          <w:szCs w:val="28"/>
        </w:rPr>
      </w:pPr>
      <w:r>
        <w:rPr>
          <w:rFonts w:hint="eastAsia" w:asciiTheme="minorEastAsia" w:hAnsiTheme="minorEastAsia"/>
          <w:b/>
          <w:sz w:val="28"/>
          <w:szCs w:val="28"/>
        </w:rPr>
        <w:t>三、坚持分类施策，加大精准支持</w:t>
      </w:r>
    </w:p>
    <w:p>
      <w:pPr>
        <w:spacing w:line="500" w:lineRule="exact"/>
        <w:ind w:firstLine="560" w:firstLineChars="200"/>
        <w:rPr>
          <w:rFonts w:asciiTheme="minorEastAsia" w:hAnsiTheme="minorEastAsia"/>
          <w:sz w:val="28"/>
          <w:szCs w:val="28"/>
        </w:rPr>
      </w:pPr>
      <w:r>
        <w:rPr>
          <w:rFonts w:hint="eastAsia" w:asciiTheme="minorEastAsia" w:hAnsiTheme="minorEastAsia"/>
          <w:sz w:val="28"/>
          <w:szCs w:val="28"/>
        </w:rPr>
        <w:t>（五）明确重点领域，加大支持力度。对符合《中国制造2025》、“互联网+”行动计划、“一带一路”建设、京津冀协同发展、长江经济带等重大战略以及国家重点发展的智能制造装备、航空航天、新能源汽车、电子信息、海洋工程装备和高技术船舶、新材料等领域符合信贷条件的重点企业，要加大支持力度。</w:t>
      </w:r>
    </w:p>
    <w:p>
      <w:pPr>
        <w:spacing w:line="500" w:lineRule="exact"/>
        <w:ind w:firstLine="560" w:firstLineChars="200"/>
        <w:rPr>
          <w:rFonts w:asciiTheme="minorEastAsia" w:hAnsiTheme="minorEastAsia"/>
          <w:sz w:val="28"/>
          <w:szCs w:val="28"/>
        </w:rPr>
      </w:pPr>
      <w:r>
        <w:rPr>
          <w:rFonts w:hint="eastAsia" w:asciiTheme="minorEastAsia" w:hAnsiTheme="minorEastAsia"/>
          <w:sz w:val="28"/>
          <w:szCs w:val="28"/>
        </w:rPr>
        <w:t>（六）注重分业指导，做好相关金融服务。对拥有新技术、新工艺等创新产品的企业，要积极跟踪了解市场发展情况，在落实信贷条件的基础上，给予合理支持。对“互联网+”领域内“轻资产”类项目或企业，要创新信贷产品，拓宽合格抵质押品范围，做好金融服务。对冶金、有色、建材、船舶等行业有市场、有效益、有技术、资产状况良好、符合规范（准入）条件、环境保护和安全生产持续达标的企业和技术改造项目，不搞“一刀切”，对符合信贷条件的继续支持其合理信贷需求。引导银行业金融机构优化信贷政策，支持产能过剩行业相关企业兼并重组。</w:t>
      </w:r>
    </w:p>
    <w:p>
      <w:pPr>
        <w:spacing w:line="500" w:lineRule="exact"/>
        <w:ind w:firstLine="560" w:firstLineChars="200"/>
        <w:rPr>
          <w:rFonts w:asciiTheme="minorEastAsia" w:hAnsiTheme="minorEastAsia"/>
          <w:sz w:val="28"/>
          <w:szCs w:val="28"/>
        </w:rPr>
      </w:pPr>
      <w:r>
        <w:rPr>
          <w:rFonts w:hint="eastAsia" w:asciiTheme="minorEastAsia" w:hAnsiTheme="minorEastAsia"/>
          <w:sz w:val="28"/>
          <w:szCs w:val="28"/>
        </w:rPr>
        <w:t>（七）压缩相关贷款，促进相关企业市场出清。对长期亏损、失去清偿能力和市场竞争力的“僵尸企业”，或环保、安全生产不达标且整改无望的企业，以及产能过剩行业未依法取得合规手续的新增产能和落后产能，要在做好资产保全的同时，坚决压缩退出相关贷款。</w:t>
      </w:r>
    </w:p>
    <w:p>
      <w:pPr>
        <w:spacing w:line="500" w:lineRule="exact"/>
        <w:ind w:firstLine="560" w:firstLineChars="200"/>
        <w:rPr>
          <w:rFonts w:asciiTheme="minorEastAsia" w:hAnsiTheme="minorEastAsia"/>
          <w:sz w:val="28"/>
          <w:szCs w:val="28"/>
        </w:rPr>
      </w:pPr>
    </w:p>
    <w:p>
      <w:pPr>
        <w:spacing w:line="500" w:lineRule="exact"/>
        <w:rPr>
          <w:rFonts w:asciiTheme="minorEastAsia" w:hAnsiTheme="minorEastAsia"/>
          <w:b/>
          <w:sz w:val="28"/>
          <w:szCs w:val="28"/>
        </w:rPr>
      </w:pPr>
      <w:r>
        <w:rPr>
          <w:rFonts w:hint="eastAsia" w:asciiTheme="minorEastAsia" w:hAnsiTheme="minorEastAsia"/>
          <w:b/>
          <w:sz w:val="28"/>
          <w:szCs w:val="28"/>
        </w:rPr>
        <w:t>四、大力创新金融支持方式</w:t>
      </w:r>
      <w:r>
        <w:rPr>
          <w:rFonts w:hint="eastAsia" w:asciiTheme="minorEastAsia" w:hAnsiTheme="minorEastAsia"/>
          <w:sz w:val="28"/>
          <w:szCs w:val="28"/>
        </w:rPr>
        <w:t> </w:t>
      </w:r>
    </w:p>
    <w:p>
      <w:pPr>
        <w:spacing w:line="500" w:lineRule="exact"/>
        <w:ind w:firstLine="560" w:firstLineChars="200"/>
        <w:rPr>
          <w:rFonts w:asciiTheme="minorEastAsia" w:hAnsiTheme="minorEastAsia"/>
          <w:sz w:val="28"/>
          <w:szCs w:val="28"/>
        </w:rPr>
      </w:pPr>
      <w:r>
        <w:rPr>
          <w:rFonts w:hint="eastAsia" w:asciiTheme="minorEastAsia" w:hAnsiTheme="minorEastAsia"/>
          <w:sz w:val="28"/>
          <w:szCs w:val="28"/>
        </w:rPr>
        <w:t>（八）银行业金融机构要制定差别化信贷政策，按照市场化原则采取增贷、稳贷、压贷等针对性措施。要积极开发针对不同类型企业的融资服务，满足企业对银行服务的多样化融资需求，逐渐实现由主要提供信贷单一产品向为客户提供个性化的综合金融解决方案转变。</w:t>
      </w:r>
    </w:p>
    <w:p>
      <w:pPr>
        <w:spacing w:line="500" w:lineRule="exact"/>
        <w:ind w:firstLine="560" w:firstLineChars="200"/>
        <w:rPr>
          <w:rFonts w:asciiTheme="minorEastAsia" w:hAnsiTheme="minorEastAsia"/>
          <w:sz w:val="28"/>
          <w:szCs w:val="28"/>
        </w:rPr>
      </w:pPr>
      <w:r>
        <w:rPr>
          <w:rFonts w:hint="eastAsia" w:asciiTheme="minorEastAsia" w:hAnsiTheme="minorEastAsia"/>
          <w:sz w:val="28"/>
          <w:szCs w:val="28"/>
        </w:rPr>
        <w:t>（九）银行业金融机构要创新适合工业和通信业发展的信贷产品，积极发展能效信贷、绿色信贷和排污权、商标权、碳排放权及政府采购订单质押融资等信贷业务。</w:t>
      </w:r>
    </w:p>
    <w:p>
      <w:pPr>
        <w:spacing w:line="500" w:lineRule="exact"/>
        <w:ind w:firstLine="560" w:firstLineChars="200"/>
        <w:rPr>
          <w:rFonts w:asciiTheme="minorEastAsia" w:hAnsiTheme="minorEastAsia"/>
          <w:sz w:val="28"/>
          <w:szCs w:val="28"/>
        </w:rPr>
      </w:pPr>
      <w:r>
        <w:rPr>
          <w:rFonts w:hint="eastAsia" w:asciiTheme="minorEastAsia" w:hAnsiTheme="minorEastAsia"/>
          <w:sz w:val="28"/>
          <w:szCs w:val="28"/>
        </w:rPr>
        <w:t>（十）银行业金融机构要积极发展“双创”金融产品和服务。支持银行业金融机构开发创业创新的贷款新产品、新业务，开展应收账款、仓单、知识产权等质押融资。</w:t>
      </w:r>
    </w:p>
    <w:p>
      <w:pPr>
        <w:spacing w:line="500" w:lineRule="exact"/>
        <w:ind w:firstLine="560" w:firstLineChars="200"/>
        <w:rPr>
          <w:rFonts w:asciiTheme="minorEastAsia" w:hAnsiTheme="minorEastAsia"/>
          <w:sz w:val="28"/>
          <w:szCs w:val="28"/>
        </w:rPr>
      </w:pPr>
      <w:r>
        <w:rPr>
          <w:rFonts w:hint="eastAsia" w:asciiTheme="minorEastAsia" w:hAnsiTheme="minorEastAsia"/>
          <w:sz w:val="28"/>
          <w:szCs w:val="28"/>
        </w:rPr>
        <w:t>（十一）鼓励企业采用企业债券、资产证券化等多种融资手段，拓宽企业融资渠道。 </w:t>
      </w:r>
    </w:p>
    <w:p>
      <w:pPr>
        <w:spacing w:line="500" w:lineRule="exact"/>
        <w:rPr>
          <w:rFonts w:asciiTheme="minorEastAsia" w:hAnsiTheme="minorEastAsia"/>
          <w:b/>
          <w:sz w:val="28"/>
          <w:szCs w:val="28"/>
        </w:rPr>
      </w:pPr>
      <w:r>
        <w:rPr>
          <w:rFonts w:hint="eastAsia" w:asciiTheme="minorEastAsia" w:hAnsiTheme="minorEastAsia"/>
          <w:b/>
          <w:sz w:val="28"/>
          <w:szCs w:val="28"/>
        </w:rPr>
        <w:t>五、积极完善产业链金融服务</w:t>
      </w:r>
    </w:p>
    <w:p>
      <w:pPr>
        <w:spacing w:line="500" w:lineRule="exact"/>
        <w:ind w:firstLine="560" w:firstLineChars="200"/>
        <w:rPr>
          <w:rFonts w:asciiTheme="minorEastAsia" w:hAnsiTheme="minorEastAsia"/>
          <w:sz w:val="28"/>
          <w:szCs w:val="28"/>
        </w:rPr>
      </w:pPr>
      <w:r>
        <w:rPr>
          <w:rFonts w:hint="eastAsia" w:asciiTheme="minorEastAsia" w:hAnsiTheme="minorEastAsia"/>
          <w:sz w:val="28"/>
          <w:szCs w:val="28"/>
        </w:rPr>
        <w:t>（十二）支持符合国家产业政策、核心主业突出、具有较强行业竞争力、具备一定资金集中管理经验的企业集团设立财务公司，有效提高企业集团内部资金运作效率，降低企业融资成本。</w:t>
      </w:r>
    </w:p>
    <w:p>
      <w:pPr>
        <w:spacing w:line="500" w:lineRule="exact"/>
        <w:ind w:firstLine="560" w:firstLineChars="200"/>
        <w:rPr>
          <w:rFonts w:asciiTheme="minorEastAsia" w:hAnsiTheme="minorEastAsia"/>
          <w:sz w:val="28"/>
          <w:szCs w:val="28"/>
        </w:rPr>
      </w:pPr>
      <w:r>
        <w:rPr>
          <w:rFonts w:hint="eastAsia" w:asciiTheme="minorEastAsia" w:hAnsiTheme="minorEastAsia"/>
          <w:sz w:val="28"/>
          <w:szCs w:val="28"/>
        </w:rPr>
        <w:t>（十三）探索开展集团财务公司延伸产业链金融服务试点，有效发挥财务公司对集团公司主业发展的支持作用。</w:t>
      </w:r>
    </w:p>
    <w:p>
      <w:pPr>
        <w:spacing w:line="500" w:lineRule="exact"/>
        <w:ind w:firstLine="560" w:firstLineChars="200"/>
        <w:rPr>
          <w:rFonts w:asciiTheme="minorEastAsia" w:hAnsiTheme="minorEastAsia"/>
          <w:sz w:val="28"/>
          <w:szCs w:val="28"/>
        </w:rPr>
      </w:pPr>
      <w:r>
        <w:rPr>
          <w:rFonts w:hint="eastAsia" w:asciiTheme="minorEastAsia" w:hAnsiTheme="minorEastAsia"/>
          <w:sz w:val="28"/>
          <w:szCs w:val="28"/>
        </w:rPr>
        <w:t>（十四）鼓励和支持企业采用融资租赁方式购置先进设备，加强与金融租赁公司、融资租赁公司合作，缓解企业资金不足问题，拓宽重大装备、工程机械等产品市场。</w:t>
      </w:r>
    </w:p>
    <w:p>
      <w:pPr>
        <w:spacing w:line="500" w:lineRule="exact"/>
        <w:ind w:firstLine="560" w:firstLineChars="200"/>
        <w:rPr>
          <w:rFonts w:asciiTheme="minorEastAsia" w:hAnsiTheme="minorEastAsia"/>
          <w:sz w:val="28"/>
          <w:szCs w:val="28"/>
        </w:rPr>
      </w:pPr>
    </w:p>
    <w:p>
      <w:pPr>
        <w:spacing w:line="500" w:lineRule="exact"/>
        <w:rPr>
          <w:rFonts w:asciiTheme="minorEastAsia" w:hAnsiTheme="minorEastAsia"/>
          <w:b/>
          <w:sz w:val="28"/>
          <w:szCs w:val="28"/>
        </w:rPr>
      </w:pPr>
      <w:r>
        <w:rPr>
          <w:rFonts w:hint="eastAsia" w:asciiTheme="minorEastAsia" w:hAnsiTheme="minorEastAsia"/>
          <w:b/>
          <w:sz w:val="28"/>
          <w:szCs w:val="28"/>
        </w:rPr>
        <w:t>六、强化企业管理，提升企业的融资能力</w:t>
      </w:r>
    </w:p>
    <w:p>
      <w:pPr>
        <w:spacing w:line="500" w:lineRule="exact"/>
        <w:ind w:firstLine="560" w:firstLineChars="200"/>
        <w:rPr>
          <w:rFonts w:asciiTheme="minorEastAsia" w:hAnsiTheme="minorEastAsia"/>
          <w:sz w:val="28"/>
          <w:szCs w:val="28"/>
        </w:rPr>
      </w:pPr>
      <w:r>
        <w:rPr>
          <w:rFonts w:hint="eastAsia" w:asciiTheme="minorEastAsia" w:hAnsiTheme="minorEastAsia"/>
          <w:sz w:val="28"/>
          <w:szCs w:val="28"/>
        </w:rPr>
        <w:t>（十五）积极推动纳入产融信息对接平台的企业提升管理水平，指导企业完善内控制度和公司治理，强化企业诚信体系建设，提高企业资金管理水平和风险防控能力。 </w:t>
      </w:r>
    </w:p>
    <w:p>
      <w:pPr>
        <w:spacing w:line="500" w:lineRule="exact"/>
        <w:ind w:firstLine="560" w:firstLineChars="200"/>
        <w:rPr>
          <w:rFonts w:asciiTheme="minorEastAsia" w:hAnsiTheme="minorEastAsia"/>
          <w:sz w:val="28"/>
          <w:szCs w:val="28"/>
        </w:rPr>
      </w:pPr>
      <w:r>
        <w:rPr>
          <w:rFonts w:hint="eastAsia" w:asciiTheme="minorEastAsia" w:hAnsiTheme="minorEastAsia"/>
          <w:sz w:val="28"/>
          <w:szCs w:val="28"/>
        </w:rPr>
        <w:t>（十六）加强对相关企业的融资能力培训，对企业利用新三板、战略新兴板、区域性股权市场等融资渠道要加强辅导，提升企业高级管理人员、财务人员的业务水平，增强企业的投融资规划能力。</w:t>
      </w:r>
    </w:p>
    <w:p>
      <w:pPr>
        <w:spacing w:line="500" w:lineRule="exact"/>
        <w:ind w:firstLine="560" w:firstLineChars="200"/>
        <w:rPr>
          <w:rFonts w:asciiTheme="minorEastAsia" w:hAnsiTheme="minorEastAsia"/>
          <w:sz w:val="28"/>
          <w:szCs w:val="28"/>
        </w:rPr>
      </w:pPr>
      <w:r>
        <w:rPr>
          <w:rFonts w:hint="eastAsia" w:asciiTheme="minorEastAsia" w:hAnsiTheme="minorEastAsia"/>
          <w:sz w:val="28"/>
          <w:szCs w:val="28"/>
        </w:rPr>
        <w:t>（十七）引导企业加强财务状况、产品质量、环境保护、安全生产、能耗水耗等方面的信息披露，减少银企关系中的信息不对称，防范企业逃废银行债务、虚假诈骗融资等失信行为，提高违约违法成本。</w:t>
      </w:r>
    </w:p>
    <w:p>
      <w:pPr>
        <w:spacing w:line="500" w:lineRule="exact"/>
        <w:ind w:firstLine="560" w:firstLineChars="200"/>
        <w:rPr>
          <w:rFonts w:asciiTheme="minorEastAsia" w:hAnsiTheme="minorEastAsia"/>
          <w:sz w:val="28"/>
          <w:szCs w:val="28"/>
        </w:rPr>
      </w:pPr>
      <w:r>
        <w:rPr>
          <w:rFonts w:hint="eastAsia" w:asciiTheme="minorEastAsia" w:hAnsiTheme="minorEastAsia"/>
          <w:sz w:val="28"/>
          <w:szCs w:val="28"/>
        </w:rPr>
        <w:t> </w:t>
      </w:r>
    </w:p>
    <w:p>
      <w:pPr>
        <w:spacing w:line="500" w:lineRule="exact"/>
        <w:rPr>
          <w:rFonts w:asciiTheme="minorEastAsia" w:hAnsiTheme="minorEastAsia"/>
          <w:b/>
          <w:sz w:val="28"/>
          <w:szCs w:val="28"/>
        </w:rPr>
      </w:pPr>
      <w:r>
        <w:rPr>
          <w:rFonts w:hint="eastAsia" w:asciiTheme="minorEastAsia" w:hAnsiTheme="minorEastAsia"/>
          <w:b/>
          <w:sz w:val="28"/>
          <w:szCs w:val="28"/>
        </w:rPr>
        <w:t>七、加强组织保障</w:t>
      </w:r>
    </w:p>
    <w:p>
      <w:pPr>
        <w:spacing w:line="500" w:lineRule="exact"/>
        <w:ind w:firstLine="560" w:firstLineChars="200"/>
        <w:rPr>
          <w:rFonts w:asciiTheme="minorEastAsia" w:hAnsiTheme="minorEastAsia"/>
          <w:sz w:val="28"/>
          <w:szCs w:val="28"/>
        </w:rPr>
      </w:pPr>
      <w:r>
        <w:rPr>
          <w:rFonts w:hint="eastAsia" w:asciiTheme="minorEastAsia" w:hAnsiTheme="minorEastAsia"/>
          <w:sz w:val="28"/>
          <w:szCs w:val="28"/>
        </w:rPr>
        <w:t>（十八）为保证工作顺利推进，工业和信息化部会同中国人民银行、中国银行业监督管理委员会建立产融信息对接工作协调机制，相关金融机构、重点企业及有关行业协会、专业机构和专家参加，强化信息共享，及时沟通银企信息对接进展情况，并协调解决特殊行业出现的重大问题。</w:t>
      </w:r>
    </w:p>
    <w:p>
      <w:pPr>
        <w:spacing w:line="500" w:lineRule="exact"/>
        <w:ind w:firstLine="560" w:firstLineChars="200"/>
        <w:rPr>
          <w:rFonts w:asciiTheme="minorEastAsia" w:hAnsiTheme="minorEastAsia"/>
          <w:sz w:val="28"/>
          <w:szCs w:val="28"/>
        </w:rPr>
      </w:pPr>
      <w:r>
        <w:rPr>
          <w:rFonts w:hint="eastAsia" w:asciiTheme="minorEastAsia" w:hAnsiTheme="minorEastAsia"/>
          <w:sz w:val="28"/>
          <w:szCs w:val="28"/>
        </w:rPr>
        <w:t>（十九）各地要建立工业和信息化主管部门会同中国人民银行各分支机构、中国银行业监督管理委员会各派驻机构等部门参加的工作机制，加强组织领导，因地制宜开展银企信息对接活动。抓紧建立本地区重点企业和重点项目融资需求清单，组织清单内企业与区域内金融机构开展信息对接。有条件的地方要创新支持方式，发挥财政资金的政策引导和杠杆作用，支持银企信息对接和产融合作项目开展。</w:t>
      </w:r>
    </w:p>
    <w:p>
      <w:pPr>
        <w:spacing w:line="500" w:lineRule="exact"/>
        <w:ind w:firstLine="560" w:firstLineChars="200"/>
        <w:rPr>
          <w:rFonts w:asciiTheme="minorEastAsia" w:hAnsiTheme="minorEastAsia"/>
          <w:sz w:val="28"/>
          <w:szCs w:val="28"/>
        </w:rPr>
      </w:pPr>
      <w:r>
        <w:rPr>
          <w:rFonts w:hint="eastAsia" w:asciiTheme="minorEastAsia" w:hAnsiTheme="minorEastAsia"/>
          <w:sz w:val="28"/>
          <w:szCs w:val="28"/>
        </w:rPr>
        <w:t>（二十）对产业转型升级和行业发展有重大支撑引领作用、且需要国家层面协调解决的重大项目融资需求，由省级工业和信息化主管部门汇总后，通过产融信息对接服务平台报送工业和信息化部（财务司），中央企业直接报送工业和信息化部（财务司）。推荐单位负责审核企业融资信息的真实性、有效性、完整性。</w:t>
      </w:r>
    </w:p>
    <w:p>
      <w:pPr>
        <w:spacing w:line="500" w:lineRule="exact"/>
        <w:ind w:firstLine="560" w:firstLineChars="200"/>
        <w:rPr>
          <w:rFonts w:asciiTheme="minorEastAsia" w:hAnsiTheme="minorEastAsia"/>
          <w:sz w:val="28"/>
          <w:szCs w:val="28"/>
        </w:rPr>
      </w:pPr>
      <w:r>
        <w:rPr>
          <w:rFonts w:hint="eastAsia" w:asciiTheme="minorEastAsia" w:hAnsiTheme="minorEastAsia"/>
          <w:sz w:val="28"/>
          <w:szCs w:val="28"/>
        </w:rPr>
        <w:t>（二十一）工业和信息化部组织行业协会和专家对各地和中央企业报送的重大融资需求清单进行筛选，并通过产融信息对接服务平台发送各银行业金融机构。</w:t>
      </w:r>
    </w:p>
    <w:p>
      <w:pPr>
        <w:spacing w:line="500" w:lineRule="exact"/>
        <w:ind w:firstLine="560" w:firstLineChars="200"/>
        <w:rPr>
          <w:rFonts w:asciiTheme="minorEastAsia" w:hAnsiTheme="minorEastAsia"/>
          <w:sz w:val="28"/>
          <w:szCs w:val="28"/>
        </w:rPr>
      </w:pPr>
      <w:r>
        <w:rPr>
          <w:rFonts w:hint="eastAsia" w:asciiTheme="minorEastAsia" w:hAnsiTheme="minorEastAsia"/>
          <w:sz w:val="28"/>
          <w:szCs w:val="28"/>
        </w:rPr>
        <w:t>（二十二）工业和信息化部会同中国人民银行、中国银行业监督管理委员会加强对融资信息对接项目的跟踪、分析、评估。各地要加强信息报送，适时将银企对接成果及成功经验做法书面报送工业和信息化部、中国人民银行、中国银行业监督管理委员会，工作开展中的重大问题要及时报告。</w:t>
      </w:r>
    </w:p>
    <w:p>
      <w:pPr>
        <w:jc w:val="right"/>
        <w:rPr>
          <w:b/>
        </w:rPr>
      </w:pPr>
      <w:r>
        <w:rPr>
          <w:b/>
        </w:rPr>
        <w:t>转自：中华人民共和国工业和信息化部官网</w:t>
      </w:r>
    </w:p>
    <w:p>
      <w:pPr>
        <w:pStyle w:val="3"/>
        <w:jc w:val="center"/>
        <w:rPr>
          <w:sz w:val="24"/>
          <w:szCs w:val="24"/>
        </w:rPr>
      </w:pPr>
      <w:bookmarkStart w:id="83" w:name="_Toc446326757"/>
      <w:bookmarkStart w:id="84" w:name="_Toc446322484"/>
      <w:bookmarkStart w:id="85" w:name="_Toc446324687"/>
      <w:bookmarkStart w:id="86" w:name="_Toc446330626"/>
      <w:bookmarkStart w:id="87" w:name="_Toc446330729"/>
      <w:r>
        <w:rPr>
          <w:rFonts w:hint="eastAsia"/>
        </w:rPr>
        <w:t>关于融资租赁合同有关印花税政策的通知</w:t>
      </w:r>
      <w:bookmarkEnd w:id="83"/>
      <w:bookmarkEnd w:id="84"/>
      <w:bookmarkEnd w:id="85"/>
      <w:bookmarkEnd w:id="86"/>
      <w:bookmarkEnd w:id="87"/>
    </w:p>
    <w:p>
      <w:pPr>
        <w:widowControl/>
        <w:wordWrap w:val="0"/>
        <w:spacing w:line="417" w:lineRule="atLeast"/>
        <w:jc w:val="center"/>
        <w:rPr>
          <w:rFonts w:ascii="Helvetica Neue" w:hAnsi="Helvetica Neue" w:eastAsia="宋体" w:cs="宋体"/>
          <w:color w:val="3E3E3E"/>
          <w:kern w:val="0"/>
          <w:sz w:val="28"/>
          <w:szCs w:val="28"/>
        </w:rPr>
      </w:pPr>
      <w:r>
        <w:rPr>
          <w:rFonts w:ascii="Helvetica Neue" w:hAnsi="Helvetica Neue" w:eastAsia="宋体" w:cs="宋体"/>
          <w:color w:val="3E3E3E"/>
          <w:kern w:val="0"/>
          <w:sz w:val="28"/>
          <w:szCs w:val="28"/>
        </w:rPr>
        <w:t>　财税[2015]144号</w:t>
      </w:r>
    </w:p>
    <w:p>
      <w:pPr>
        <w:widowControl/>
        <w:wordWrap w:val="0"/>
        <w:spacing w:line="417" w:lineRule="atLeast"/>
        <w:jc w:val="center"/>
        <w:rPr>
          <w:rFonts w:ascii="Helvetica Neue" w:hAnsi="Helvetica Neue" w:eastAsia="宋体" w:cs="宋体"/>
          <w:color w:val="3E3E3E"/>
          <w:kern w:val="0"/>
          <w:sz w:val="23"/>
          <w:szCs w:val="23"/>
        </w:rPr>
      </w:pPr>
    </w:p>
    <w:p>
      <w:pPr>
        <w:widowControl/>
        <w:wordWrap w:val="0"/>
        <w:spacing w:line="417" w:lineRule="atLeast"/>
        <w:jc w:val="left"/>
        <w:rPr>
          <w:rFonts w:ascii="Helvetica Neue" w:hAnsi="Helvetica Neue" w:eastAsia="宋体" w:cs="宋体"/>
          <w:color w:val="3E3E3E"/>
          <w:kern w:val="0"/>
          <w:sz w:val="28"/>
          <w:szCs w:val="28"/>
        </w:rPr>
      </w:pPr>
      <w:r>
        <w:rPr>
          <w:rFonts w:ascii="Helvetica Neue" w:hAnsi="Helvetica Neue" w:eastAsia="宋体" w:cs="宋体"/>
          <w:color w:val="3E3E3E"/>
          <w:kern w:val="0"/>
          <w:sz w:val="28"/>
          <w:szCs w:val="28"/>
        </w:rPr>
        <w:t>各省、自治区、直辖市、计划单列市财政厅（局）、地方税务局，西藏、宁夏回族自治区国家税务局，新疆生产建设兵团财务局：</w:t>
      </w:r>
    </w:p>
    <w:p>
      <w:pPr>
        <w:widowControl/>
        <w:wordWrap w:val="0"/>
        <w:spacing w:line="417" w:lineRule="atLeast"/>
        <w:jc w:val="left"/>
        <w:textAlignment w:val="baseline"/>
        <w:rPr>
          <w:rFonts w:ascii="Helvetica Neue" w:hAnsi="Helvetica Neue" w:eastAsia="宋体" w:cs="宋体"/>
          <w:color w:val="3E3E3E"/>
          <w:kern w:val="0"/>
          <w:sz w:val="28"/>
          <w:szCs w:val="28"/>
        </w:rPr>
      </w:pPr>
      <w:r>
        <w:rPr>
          <w:rFonts w:ascii="Helvetica Neue" w:hAnsi="Helvetica Neue" w:eastAsia="宋体" w:cs="宋体"/>
          <w:color w:val="3E3E3E"/>
          <w:kern w:val="0"/>
          <w:sz w:val="28"/>
          <w:szCs w:val="28"/>
        </w:rPr>
        <w:t>　　根据《国务院办公厅关于加快融资租赁业发展的指导意见》（国办发〔2015〕68号）有关规定，为促进融资租赁业健康发展，公平税负，现就融资租赁合同有关印花税政策通知如下：</w:t>
      </w:r>
    </w:p>
    <w:p>
      <w:pPr>
        <w:widowControl/>
        <w:wordWrap w:val="0"/>
        <w:spacing w:line="417" w:lineRule="atLeast"/>
        <w:jc w:val="left"/>
        <w:textAlignment w:val="baseline"/>
        <w:rPr>
          <w:rFonts w:ascii="Helvetica Neue" w:hAnsi="Helvetica Neue" w:eastAsia="宋体" w:cs="宋体"/>
          <w:color w:val="3E3E3E"/>
          <w:kern w:val="0"/>
          <w:sz w:val="28"/>
          <w:szCs w:val="28"/>
        </w:rPr>
      </w:pPr>
      <w:r>
        <w:rPr>
          <w:rFonts w:ascii="Helvetica Neue" w:hAnsi="Helvetica Neue" w:eastAsia="宋体" w:cs="宋体"/>
          <w:color w:val="3E3E3E"/>
          <w:kern w:val="0"/>
          <w:sz w:val="28"/>
          <w:szCs w:val="28"/>
        </w:rPr>
        <w:t>　　一、对开展融资租赁业务签订的融资租赁合同（含融资性售后回租），统一按照其所载明的租金总额依照“借款合同”税目，按万分之零点五的税率计税贴花。</w:t>
      </w:r>
    </w:p>
    <w:p>
      <w:pPr>
        <w:widowControl/>
        <w:wordWrap w:val="0"/>
        <w:spacing w:line="417" w:lineRule="atLeast"/>
        <w:jc w:val="left"/>
        <w:textAlignment w:val="baseline"/>
        <w:rPr>
          <w:rFonts w:ascii="Helvetica Neue" w:hAnsi="Helvetica Neue" w:eastAsia="宋体" w:cs="宋体"/>
          <w:color w:val="3E3E3E"/>
          <w:kern w:val="0"/>
          <w:sz w:val="28"/>
          <w:szCs w:val="28"/>
        </w:rPr>
      </w:pPr>
      <w:r>
        <w:rPr>
          <w:rFonts w:ascii="Helvetica Neue" w:hAnsi="Helvetica Neue" w:eastAsia="宋体" w:cs="宋体"/>
          <w:color w:val="3E3E3E"/>
          <w:kern w:val="0"/>
          <w:sz w:val="28"/>
          <w:szCs w:val="28"/>
        </w:rPr>
        <w:t>　　二、在融资性售后回租业务中，对承租人、出租人因出售租赁资产及购回租赁资产所签订的合同，不征收印花税。</w:t>
      </w:r>
    </w:p>
    <w:p>
      <w:pPr>
        <w:widowControl/>
        <w:wordWrap w:val="0"/>
        <w:spacing w:line="417" w:lineRule="atLeast"/>
        <w:jc w:val="left"/>
        <w:rPr>
          <w:rFonts w:ascii="Helvetica Neue" w:hAnsi="Helvetica Neue" w:eastAsia="宋体" w:cs="宋体"/>
          <w:color w:val="3E3E3E"/>
          <w:kern w:val="0"/>
          <w:sz w:val="28"/>
          <w:szCs w:val="28"/>
        </w:rPr>
      </w:pPr>
      <w:r>
        <w:rPr>
          <w:rFonts w:ascii="Helvetica Neue" w:hAnsi="Helvetica Neue" w:eastAsia="宋体" w:cs="宋体"/>
          <w:color w:val="3E3E3E"/>
          <w:kern w:val="0"/>
          <w:sz w:val="28"/>
          <w:szCs w:val="28"/>
        </w:rPr>
        <w:t>　　三、本通知自印发之日起执行。此前未处理的事项，按照本通知规定执行。</w:t>
      </w:r>
    </w:p>
    <w:p>
      <w:pPr>
        <w:widowControl/>
        <w:wordWrap w:val="0"/>
        <w:spacing w:line="417" w:lineRule="atLeast"/>
        <w:jc w:val="left"/>
        <w:rPr>
          <w:rFonts w:ascii="Helvetica Neue" w:hAnsi="Helvetica Neue" w:eastAsia="宋体" w:cs="宋体"/>
          <w:color w:val="3E3E3E"/>
          <w:kern w:val="0"/>
          <w:sz w:val="28"/>
          <w:szCs w:val="28"/>
        </w:rPr>
      </w:pPr>
      <w:r>
        <w:rPr>
          <w:rFonts w:ascii="Helvetica Neue" w:hAnsi="Helvetica Neue" w:eastAsia="宋体" w:cs="宋体"/>
          <w:color w:val="3E3E3E"/>
          <w:kern w:val="0"/>
          <w:sz w:val="28"/>
          <w:szCs w:val="28"/>
        </w:rPr>
        <w:t>　　请遵照执行。</w:t>
      </w:r>
    </w:p>
    <w:p>
      <w:pPr>
        <w:widowControl/>
        <w:wordWrap w:val="0"/>
        <w:spacing w:line="417" w:lineRule="atLeast"/>
        <w:jc w:val="left"/>
        <w:rPr>
          <w:rFonts w:ascii="Helvetica Neue" w:hAnsi="Helvetica Neue" w:eastAsia="宋体" w:cs="宋体"/>
          <w:color w:val="3E3E3E"/>
          <w:kern w:val="0"/>
          <w:sz w:val="28"/>
          <w:szCs w:val="28"/>
        </w:rPr>
      </w:pPr>
      <w:r>
        <w:rPr>
          <w:rFonts w:ascii="Helvetica Neue" w:hAnsi="Helvetica Neue" w:eastAsia="宋体" w:cs="宋体"/>
          <w:color w:val="3E3E3E"/>
          <w:kern w:val="0"/>
          <w:sz w:val="28"/>
          <w:szCs w:val="28"/>
        </w:rPr>
        <w:t xml:space="preserve">　　 </w:t>
      </w:r>
    </w:p>
    <w:p>
      <w:pPr>
        <w:widowControl/>
        <w:wordWrap w:val="0"/>
        <w:spacing w:line="417" w:lineRule="atLeast"/>
        <w:jc w:val="right"/>
        <w:rPr>
          <w:rFonts w:cs="宋体" w:asciiTheme="minorEastAsia" w:hAnsiTheme="minorEastAsia"/>
          <w:color w:val="3E3E3E"/>
          <w:kern w:val="0"/>
          <w:sz w:val="28"/>
          <w:szCs w:val="28"/>
        </w:rPr>
      </w:pPr>
      <w:r>
        <w:rPr>
          <w:rFonts w:cs="宋体" w:asciiTheme="minorEastAsia" w:hAnsiTheme="minorEastAsia"/>
          <w:color w:val="3E3E3E"/>
          <w:kern w:val="0"/>
          <w:sz w:val="28"/>
          <w:szCs w:val="28"/>
        </w:rPr>
        <w:t>　　财政部 国家税务总局</w:t>
      </w:r>
    </w:p>
    <w:p>
      <w:pPr>
        <w:jc w:val="right"/>
        <w:rPr>
          <w:rFonts w:asciiTheme="minorEastAsia" w:hAnsiTheme="minorEastAsia"/>
          <w:sz w:val="28"/>
          <w:szCs w:val="28"/>
        </w:rPr>
      </w:pPr>
      <w:r>
        <w:rPr>
          <w:rFonts w:cs="宋体" w:asciiTheme="minorEastAsia" w:hAnsiTheme="minorEastAsia"/>
          <w:color w:val="3E3E3E"/>
          <w:kern w:val="0"/>
          <w:sz w:val="28"/>
          <w:szCs w:val="28"/>
        </w:rPr>
        <w:t>　　2015年12月24日</w:t>
      </w:r>
    </w:p>
    <w:p>
      <w:pPr/>
    </w:p>
    <w:p>
      <w:pPr>
        <w:jc w:val="left"/>
        <w:rPr>
          <w:b/>
        </w:rPr>
      </w:pPr>
      <w:r>
        <w:rPr>
          <w:b/>
        </w:rPr>
        <w:t>转自：中华人民共和国财政部官网</w:t>
      </w:r>
    </w:p>
    <w:p>
      <w:pPr>
        <w:pStyle w:val="3"/>
        <w:jc w:val="center"/>
        <w:rPr>
          <w:rFonts w:asciiTheme="minorEastAsia" w:hAnsiTheme="minorEastAsia"/>
          <w:sz w:val="24"/>
          <w:szCs w:val="24"/>
        </w:rPr>
      </w:pPr>
      <w:bookmarkStart w:id="88" w:name="_Toc446330627"/>
      <w:bookmarkStart w:id="89" w:name="_Toc446330730"/>
      <w:bookmarkStart w:id="90" w:name="_Toc446322485"/>
      <w:bookmarkStart w:id="91" w:name="_Toc446324688"/>
      <w:bookmarkStart w:id="92" w:name="_Toc446326758"/>
      <w:r>
        <w:t>国家税务总局关于完善纳税服务投诉管理制度有关问题的通知</w:t>
      </w:r>
      <w:bookmarkEnd w:id="88"/>
      <w:bookmarkEnd w:id="89"/>
      <w:bookmarkEnd w:id="90"/>
      <w:bookmarkEnd w:id="91"/>
      <w:bookmarkEnd w:id="92"/>
    </w:p>
    <w:p>
      <w:pPr>
        <w:jc w:val="center"/>
        <w:rPr>
          <w:rFonts w:asciiTheme="minorEastAsia" w:hAnsiTheme="minorEastAsia"/>
          <w:sz w:val="28"/>
          <w:szCs w:val="28"/>
        </w:rPr>
      </w:pPr>
      <w:r>
        <w:rPr>
          <w:rFonts w:asciiTheme="minorEastAsia" w:hAnsiTheme="minorEastAsia"/>
          <w:sz w:val="28"/>
          <w:szCs w:val="28"/>
        </w:rPr>
        <w:t>税总函〔2016〕57号</w:t>
      </w:r>
    </w:p>
    <w:p>
      <w:pPr>
        <w:rPr>
          <w:rFonts w:asciiTheme="minorEastAsia" w:hAnsiTheme="minorEastAsia"/>
          <w:sz w:val="28"/>
          <w:szCs w:val="28"/>
        </w:rPr>
      </w:pPr>
      <w:r>
        <w:rPr>
          <w:rFonts w:asciiTheme="minorEastAsia" w:hAnsiTheme="minorEastAsia"/>
          <w:sz w:val="28"/>
          <w:szCs w:val="28"/>
        </w:rPr>
        <w:t>各省、自治区、直辖市和计划单列市国家税务局、地方税务局：</w:t>
      </w:r>
      <w:r>
        <w:rPr>
          <w:rFonts w:asciiTheme="minorEastAsia" w:hAnsiTheme="minorEastAsia"/>
          <w:sz w:val="28"/>
          <w:szCs w:val="28"/>
        </w:rPr>
        <w:br w:type="textWrapping"/>
      </w:r>
      <w:r>
        <w:rPr>
          <w:rFonts w:asciiTheme="minorEastAsia" w:hAnsiTheme="minorEastAsia"/>
          <w:sz w:val="28"/>
          <w:szCs w:val="28"/>
        </w:rPr>
        <w:t>　　为贯彻落实《深化国税、地税征管体制改革方案》关于健全纳税服务投诉机制的要求，税务总局对《纳税服务投诉管理办法》（国家税务总局公告2015年第49号发布）有关纳税服务投诉办理信息化、办理情况定期报告和定期通报等内容进行了明确和完善，现将有关事项通知如下：</w:t>
      </w:r>
      <w:r>
        <w:rPr>
          <w:rFonts w:asciiTheme="minorEastAsia" w:hAnsiTheme="minorEastAsia"/>
          <w:sz w:val="28"/>
          <w:szCs w:val="28"/>
        </w:rPr>
        <w:br w:type="textWrapping"/>
      </w:r>
      <w:r>
        <w:rPr>
          <w:rFonts w:asciiTheme="minorEastAsia" w:hAnsiTheme="minorEastAsia"/>
          <w:sz w:val="28"/>
          <w:szCs w:val="28"/>
        </w:rPr>
        <w:t xml:space="preserve">　　一、提高投诉管理质效 </w:t>
      </w:r>
      <w:r>
        <w:rPr>
          <w:rFonts w:asciiTheme="minorEastAsia" w:hAnsiTheme="minorEastAsia"/>
          <w:sz w:val="28"/>
          <w:szCs w:val="28"/>
        </w:rPr>
        <w:br w:type="textWrapping"/>
      </w:r>
      <w:r>
        <w:rPr>
          <w:rFonts w:asciiTheme="minorEastAsia" w:hAnsiTheme="minorEastAsia"/>
          <w:sz w:val="28"/>
          <w:szCs w:val="28"/>
        </w:rPr>
        <w:t>　　税务总局依托12366综合办税服务平台，升级了“12366纳税服务热线系统”（以下简称热线系统），借助信息化手段实现纳税服务投诉多渠道接收、同一平台处理、全程监控督办。税务总局将于2016年2月26日对各省税务机关热线系统进行升级，请各地按照《全国税务系统12366纳税服务热线系统升级方案》的要求（见附件1），确保上线工作顺利完成。</w:t>
      </w:r>
      <w:r>
        <w:rPr>
          <w:rFonts w:asciiTheme="minorEastAsia" w:hAnsiTheme="minorEastAsia"/>
          <w:sz w:val="28"/>
          <w:szCs w:val="28"/>
        </w:rPr>
        <w:br w:type="textWrapping"/>
      </w:r>
      <w:r>
        <w:rPr>
          <w:rFonts w:asciiTheme="minorEastAsia" w:hAnsiTheme="minorEastAsia"/>
          <w:sz w:val="28"/>
          <w:szCs w:val="28"/>
        </w:rPr>
        <w:t xml:space="preserve">　　二、报告投诉处理情况 </w:t>
      </w:r>
      <w:r>
        <w:rPr>
          <w:rFonts w:asciiTheme="minorEastAsia" w:hAnsiTheme="minorEastAsia"/>
          <w:sz w:val="28"/>
          <w:szCs w:val="28"/>
        </w:rPr>
        <w:br w:type="textWrapping"/>
      </w:r>
      <w:r>
        <w:rPr>
          <w:rFonts w:asciiTheme="minorEastAsia" w:hAnsiTheme="minorEastAsia"/>
          <w:sz w:val="28"/>
          <w:szCs w:val="28"/>
        </w:rPr>
        <w:t>　　各级税务机关应当及时对纳税服务投诉情况进行统计分析，并按月度向上级税务机关提交情况报告。</w:t>
      </w:r>
      <w:r>
        <w:rPr>
          <w:rFonts w:asciiTheme="minorEastAsia" w:hAnsiTheme="minorEastAsia"/>
          <w:sz w:val="28"/>
          <w:szCs w:val="28"/>
        </w:rPr>
        <w:br w:type="textWrapping"/>
      </w:r>
      <w:r>
        <w:rPr>
          <w:rFonts w:asciiTheme="minorEastAsia" w:hAnsiTheme="minorEastAsia"/>
          <w:sz w:val="28"/>
          <w:szCs w:val="28"/>
        </w:rPr>
        <w:t>　　各省税务机关应根据下级税务机关的报告和热线系统数据，分类统计、汇总分析本地纳税服务投诉和处理情况，按照《关于纳税服务投诉及办理情况报告的要求》（见附件2，以下简称报告要求），填报《纳税服务投诉处理情况统计表》并形成分析报告，按报告要求的时限报送税务总局(纳税服务司)。</w:t>
      </w:r>
      <w:r>
        <w:rPr>
          <w:rFonts w:asciiTheme="minorEastAsia" w:hAnsiTheme="minorEastAsia"/>
          <w:sz w:val="28"/>
          <w:szCs w:val="28"/>
        </w:rPr>
        <w:br w:type="textWrapping"/>
      </w:r>
      <w:r>
        <w:rPr>
          <w:rFonts w:asciiTheme="minorEastAsia" w:hAnsiTheme="minorEastAsia"/>
          <w:sz w:val="28"/>
          <w:szCs w:val="28"/>
        </w:rPr>
        <w:t xml:space="preserve">　　三、通报投诉处理结果 </w:t>
      </w:r>
      <w:r>
        <w:rPr>
          <w:rFonts w:asciiTheme="minorEastAsia" w:hAnsiTheme="minorEastAsia"/>
          <w:sz w:val="28"/>
          <w:szCs w:val="28"/>
        </w:rPr>
        <w:br w:type="textWrapping"/>
      </w:r>
      <w:r>
        <w:rPr>
          <w:rFonts w:asciiTheme="minorEastAsia" w:hAnsiTheme="minorEastAsia"/>
          <w:sz w:val="28"/>
          <w:szCs w:val="28"/>
        </w:rPr>
        <w:t>　　各省税务机关应建立上级对下级税务机关纳税服务投诉及办理情况的通报制度。</w:t>
      </w:r>
      <w:r>
        <w:rPr>
          <w:rFonts w:asciiTheme="minorEastAsia" w:hAnsiTheme="minorEastAsia"/>
          <w:sz w:val="28"/>
          <w:szCs w:val="28"/>
        </w:rPr>
        <w:br w:type="textWrapping"/>
      </w:r>
      <w:r>
        <w:rPr>
          <w:rFonts w:asciiTheme="minorEastAsia" w:hAnsiTheme="minorEastAsia"/>
          <w:sz w:val="28"/>
          <w:szCs w:val="28"/>
        </w:rPr>
        <w:t>　　省税务机关应根据下级税务机关的报告和热线系统数据分析，每半年对本辖区纳税服务投诉和处理情况进行通报。通报内容包括：投诉的基本情况、受理及处理情况、工作成效、存在问题与整改要求、今后工作预判与建议等。</w:t>
      </w:r>
      <w:r>
        <w:rPr>
          <w:rFonts w:asciiTheme="minorEastAsia" w:hAnsiTheme="minorEastAsia"/>
          <w:sz w:val="28"/>
          <w:szCs w:val="28"/>
        </w:rPr>
        <w:br w:type="textWrapping"/>
      </w:r>
      <w:r>
        <w:rPr>
          <w:rFonts w:asciiTheme="minorEastAsia" w:hAnsiTheme="minorEastAsia"/>
          <w:sz w:val="28"/>
          <w:szCs w:val="28"/>
        </w:rPr>
        <w:t>　　税务总局将按年度对各省纳税服务投诉及办理情况进行通报。各省税务机关应结合本地情况，对通报中反映的问题有针对性地提出整改措施并落实到位。税务总局将对整改情况进行督导检查。</w:t>
      </w:r>
      <w:r>
        <w:rPr>
          <w:rFonts w:asciiTheme="minorEastAsia" w:hAnsiTheme="minorEastAsia"/>
          <w:sz w:val="28"/>
          <w:szCs w:val="28"/>
        </w:rPr>
        <w:br w:type="textWrapping"/>
      </w:r>
      <w:r>
        <w:rPr>
          <w:rFonts w:asciiTheme="minorEastAsia" w:hAnsiTheme="minorEastAsia"/>
          <w:sz w:val="28"/>
          <w:szCs w:val="28"/>
        </w:rPr>
        <w:t>　　本通知自印发之日起执行。《国家税务总局办公厅关于开展纳税服务投诉受理情况统计工作的通知》（国税办发〔2011〕149号）同时废止。</w:t>
      </w:r>
    </w:p>
    <w:p>
      <w:pPr>
        <w:rPr>
          <w:rFonts w:asciiTheme="minorEastAsia" w:hAnsiTheme="minorEastAsia"/>
          <w:sz w:val="28"/>
          <w:szCs w:val="28"/>
        </w:rPr>
      </w:pPr>
      <w:r>
        <w:rPr>
          <w:rFonts w:asciiTheme="minorEastAsia" w:hAnsiTheme="minorEastAsia"/>
          <w:sz w:val="28"/>
          <w:szCs w:val="28"/>
        </w:rPr>
        <w:t>　　</w:t>
      </w:r>
    </w:p>
    <w:p>
      <w:pPr>
        <w:jc w:val="right"/>
        <w:rPr>
          <w:rFonts w:asciiTheme="minorEastAsia" w:hAnsiTheme="minorEastAsia"/>
          <w:sz w:val="28"/>
          <w:szCs w:val="28"/>
        </w:rPr>
      </w:pPr>
      <w:r>
        <w:rPr>
          <w:rFonts w:asciiTheme="minorEastAsia" w:hAnsiTheme="minorEastAsia"/>
          <w:sz w:val="28"/>
          <w:szCs w:val="28"/>
        </w:rPr>
        <w:t>国家税务总局</w:t>
      </w:r>
      <w:r>
        <w:rPr>
          <w:rFonts w:asciiTheme="minorEastAsia" w:hAnsiTheme="minorEastAsia"/>
          <w:sz w:val="28"/>
          <w:szCs w:val="28"/>
        </w:rPr>
        <w:br w:type="textWrapping"/>
      </w:r>
      <w:r>
        <w:rPr>
          <w:rFonts w:asciiTheme="minorEastAsia" w:hAnsiTheme="minorEastAsia"/>
          <w:sz w:val="28"/>
          <w:szCs w:val="28"/>
        </w:rPr>
        <w:t>2016年2月15日</w:t>
      </w:r>
    </w:p>
    <w:p>
      <w:pPr>
        <w:jc w:val="right"/>
        <w:rPr>
          <w:rFonts w:asciiTheme="minorEastAsia" w:hAnsiTheme="minorEastAsia"/>
          <w:sz w:val="28"/>
          <w:szCs w:val="28"/>
        </w:rPr>
      </w:pPr>
    </w:p>
    <w:p>
      <w:pPr>
        <w:jc w:val="left"/>
        <w:rPr>
          <w:b/>
        </w:rPr>
      </w:pPr>
      <w:r>
        <w:rPr>
          <w:b/>
        </w:rPr>
        <w:t>转自：国家税务总局官网</w:t>
      </w:r>
    </w:p>
    <w:p>
      <w:pPr>
        <w:pStyle w:val="3"/>
        <w:jc w:val="center"/>
      </w:pPr>
      <w:bookmarkStart w:id="93" w:name="_Toc446324689"/>
      <w:bookmarkStart w:id="94" w:name="_Toc446330628"/>
      <w:bookmarkStart w:id="95" w:name="_Toc446326759"/>
      <w:bookmarkStart w:id="96" w:name="_Toc446322486"/>
      <w:bookmarkStart w:id="97" w:name="_Toc446330731"/>
      <w:r>
        <w:t>国家税务总局关于营业税改征增值税试点期间有关增值税问题的公告</w:t>
      </w:r>
      <w:bookmarkEnd w:id="93"/>
      <w:bookmarkEnd w:id="94"/>
      <w:bookmarkEnd w:id="95"/>
      <w:bookmarkEnd w:id="96"/>
      <w:bookmarkEnd w:id="97"/>
    </w:p>
    <w:p>
      <w:pPr>
        <w:jc w:val="center"/>
        <w:rPr>
          <w:sz w:val="28"/>
          <w:szCs w:val="28"/>
        </w:rPr>
      </w:pPr>
      <w:r>
        <w:rPr>
          <w:sz w:val="28"/>
          <w:szCs w:val="28"/>
        </w:rPr>
        <w:t>国家税务总局公告2015年第90号</w:t>
      </w:r>
    </w:p>
    <w:p>
      <w:pPr>
        <w:spacing w:line="400" w:lineRule="exact"/>
        <w:rPr>
          <w:sz w:val="28"/>
          <w:szCs w:val="28"/>
        </w:rPr>
      </w:pPr>
      <w:r>
        <w:rPr>
          <w:sz w:val="28"/>
          <w:szCs w:val="28"/>
        </w:rPr>
        <w:t>　　为统一政策执行口径，现将营业税改征增值税试点期间有关增值税问题公告如下：</w:t>
      </w:r>
    </w:p>
    <w:p>
      <w:pPr>
        <w:spacing w:line="400" w:lineRule="exact"/>
        <w:rPr>
          <w:sz w:val="28"/>
          <w:szCs w:val="28"/>
        </w:rPr>
      </w:pPr>
      <w:r>
        <w:rPr>
          <w:sz w:val="28"/>
          <w:szCs w:val="28"/>
        </w:rPr>
        <w:t>　　一、蜂窝数字移动通信用塔（杆），属于《固定资产分类与代码》（GB/T14885-1994）中的“其他通讯设备”（代码699），其增值税进项税额可以按照现行规定从销项税额中抵扣。</w:t>
      </w:r>
    </w:p>
    <w:p>
      <w:pPr>
        <w:spacing w:line="400" w:lineRule="exact"/>
        <w:rPr>
          <w:sz w:val="28"/>
          <w:szCs w:val="28"/>
        </w:rPr>
      </w:pPr>
      <w:r>
        <w:rPr>
          <w:sz w:val="28"/>
          <w:szCs w:val="28"/>
        </w:rPr>
        <w:t>　　二、纳税人销售自己使用过的固定资产，适用简易办法依照3%征收率减按2%征收增值税政策的，可以放弃减税，按照简易办法依照3%征收率缴纳增值税，并可以开具增值税专用发票。</w:t>
      </w:r>
    </w:p>
    <w:p>
      <w:pPr>
        <w:spacing w:line="400" w:lineRule="exact"/>
        <w:rPr>
          <w:sz w:val="28"/>
          <w:szCs w:val="28"/>
        </w:rPr>
      </w:pPr>
      <w:r>
        <w:rPr>
          <w:sz w:val="28"/>
          <w:szCs w:val="28"/>
        </w:rPr>
        <w:t>　　三、纳税人提供有形动产融资性售后回租服务，计算当期销售额时可以扣除的有形动产价款本金，为书面合同约定的当期应当收取的本金。无书面合同或者书面合同没有约定的，为当期实际收取的本金。</w:t>
      </w:r>
    </w:p>
    <w:p>
      <w:pPr>
        <w:spacing w:line="400" w:lineRule="exact"/>
        <w:rPr>
          <w:sz w:val="28"/>
          <w:szCs w:val="28"/>
        </w:rPr>
      </w:pPr>
      <w:r>
        <w:rPr>
          <w:sz w:val="28"/>
          <w:szCs w:val="28"/>
        </w:rPr>
        <w:t>　　四、提供有形动产融资租赁服务的纳税人，以保理方式将融资租赁合同项下未到期应收租金的债权转让给银行等金融机构，不改变其与承租方之间的融资租赁关系，应继续按照现行规定缴纳增值税，并向承租方开具发票。</w:t>
      </w:r>
    </w:p>
    <w:p>
      <w:pPr>
        <w:spacing w:line="400" w:lineRule="exact"/>
        <w:rPr>
          <w:sz w:val="28"/>
          <w:szCs w:val="28"/>
        </w:rPr>
      </w:pPr>
      <w:r>
        <w:rPr>
          <w:sz w:val="28"/>
          <w:szCs w:val="28"/>
        </w:rPr>
        <w:t>　　五、纳税人通过蜂窝数字移动通信用塔（杆）及配套设施，为电信企业提供的基站天线、馈线及设备环境控制、动环监控、防雷消防、运行维护等塔类站址管理业务，按照“信息技术基础设施管理服务”缴纳增值税。</w:t>
      </w:r>
    </w:p>
    <w:p>
      <w:pPr>
        <w:spacing w:line="400" w:lineRule="exact"/>
        <w:rPr>
          <w:sz w:val="28"/>
          <w:szCs w:val="28"/>
        </w:rPr>
      </w:pPr>
      <w:r>
        <w:rPr>
          <w:sz w:val="28"/>
          <w:szCs w:val="28"/>
        </w:rPr>
        <w:t>　　纳税人通过楼宇、隧道等室内通信分布系统，为电信企业提供的语音通话和移动互联网等无线信号室分系统传输服务，分别按照基础电信服务和增值电信服务缴纳增值税。</w:t>
      </w:r>
    </w:p>
    <w:p>
      <w:pPr>
        <w:spacing w:line="400" w:lineRule="exact"/>
        <w:rPr>
          <w:sz w:val="28"/>
          <w:szCs w:val="28"/>
        </w:rPr>
      </w:pPr>
      <w:r>
        <w:rPr>
          <w:sz w:val="28"/>
          <w:szCs w:val="28"/>
        </w:rPr>
        <w:t>　　本公告自2016年2月1日起施行，此前未处理的事项，按本公告规定执行。</w:t>
      </w:r>
    </w:p>
    <w:p>
      <w:pPr>
        <w:spacing w:line="400" w:lineRule="exact"/>
        <w:rPr>
          <w:sz w:val="28"/>
          <w:szCs w:val="28"/>
        </w:rPr>
      </w:pPr>
      <w:r>
        <w:rPr>
          <w:sz w:val="28"/>
          <w:szCs w:val="28"/>
        </w:rPr>
        <w:t>特此公告。</w:t>
      </w:r>
    </w:p>
    <w:p>
      <w:pPr>
        <w:spacing w:line="400" w:lineRule="exact"/>
        <w:jc w:val="right"/>
        <w:rPr>
          <w:sz w:val="28"/>
          <w:szCs w:val="28"/>
        </w:rPr>
      </w:pPr>
      <w:r>
        <w:rPr>
          <w:sz w:val="28"/>
          <w:szCs w:val="28"/>
        </w:rPr>
        <w:t>国家税务总局</w:t>
      </w:r>
    </w:p>
    <w:p>
      <w:pPr>
        <w:spacing w:line="400" w:lineRule="exact"/>
        <w:jc w:val="right"/>
        <w:rPr>
          <w:sz w:val="28"/>
          <w:szCs w:val="28"/>
        </w:rPr>
      </w:pPr>
      <w:r>
        <w:rPr>
          <w:sz w:val="28"/>
          <w:szCs w:val="28"/>
        </w:rPr>
        <w:t>2015年12月22日</w:t>
      </w:r>
    </w:p>
    <w:p>
      <w:pPr>
        <w:spacing w:line="400" w:lineRule="exact"/>
        <w:rPr>
          <w:b/>
        </w:rPr>
      </w:pPr>
      <w:r>
        <w:rPr>
          <w:b/>
        </w:rPr>
        <w:t>转自：国家税务总局</w:t>
      </w:r>
    </w:p>
    <w:p>
      <w:pPr>
        <w:pStyle w:val="3"/>
        <w:jc w:val="center"/>
        <w:rPr>
          <w:rFonts w:asciiTheme="minorEastAsia" w:hAnsiTheme="minorEastAsia"/>
        </w:rPr>
      </w:pPr>
      <w:bookmarkStart w:id="98" w:name="_Toc446330629"/>
      <w:bookmarkStart w:id="99" w:name="_Toc446322487"/>
      <w:bookmarkStart w:id="100" w:name="_Toc446326760"/>
      <w:bookmarkStart w:id="101" w:name="_Toc446330732"/>
      <w:bookmarkStart w:id="102" w:name="_Toc446324690"/>
      <w:r>
        <w:t>关于贯彻落实研发费用加计扣除和全国推广自主创新示范区所得税政策的通知</w:t>
      </w:r>
      <w:bookmarkEnd w:id="98"/>
      <w:bookmarkEnd w:id="99"/>
      <w:bookmarkEnd w:id="100"/>
      <w:bookmarkEnd w:id="101"/>
      <w:bookmarkEnd w:id="102"/>
    </w:p>
    <w:p>
      <w:pPr>
        <w:jc w:val="center"/>
        <w:rPr>
          <w:color w:val="3E3E3E"/>
          <w:sz w:val="28"/>
          <w:szCs w:val="28"/>
        </w:rPr>
      </w:pPr>
      <w:r>
        <w:rPr>
          <w:sz w:val="28"/>
          <w:szCs w:val="28"/>
        </w:rPr>
        <w:t>税总发〔2015〕146号</w:t>
      </w:r>
    </w:p>
    <w:p>
      <w:pPr>
        <w:pStyle w:val="12"/>
        <w:shd w:val="clear" w:color="auto" w:fill="FFFFFF"/>
        <w:spacing w:before="0" w:beforeAutospacing="0" w:after="0" w:afterAutospacing="0" w:line="417" w:lineRule="atLeast"/>
        <w:rPr>
          <w:rFonts w:ascii="Helvetica Neue" w:hAnsi="Helvetica Neue"/>
          <w:color w:val="3E3E3E"/>
          <w:sz w:val="23"/>
          <w:szCs w:val="23"/>
        </w:rPr>
      </w:pPr>
    </w:p>
    <w:p>
      <w:pPr>
        <w:rPr>
          <w:sz w:val="28"/>
          <w:szCs w:val="28"/>
        </w:rPr>
      </w:pPr>
      <w:r>
        <w:rPr>
          <w:sz w:val="28"/>
          <w:szCs w:val="28"/>
        </w:rPr>
        <w:t>各省、自治区、直辖市和计划单列市国家税务局、地方税务局：</w:t>
      </w:r>
    </w:p>
    <w:p>
      <w:pPr>
        <w:rPr>
          <w:sz w:val="28"/>
          <w:szCs w:val="28"/>
        </w:rPr>
      </w:pPr>
      <w:r>
        <w:rPr>
          <w:sz w:val="28"/>
          <w:szCs w:val="28"/>
        </w:rPr>
        <w:t>　　根据109次国务院常务会议决定精神，现就税务机关贯彻落实研发费用加计扣除政策和在全国范围内推广国家自主创新示范区所得税试点政策工作通知如下：</w:t>
      </w:r>
    </w:p>
    <w:p>
      <w:pPr>
        <w:rPr>
          <w:sz w:val="28"/>
          <w:szCs w:val="28"/>
        </w:rPr>
      </w:pPr>
      <w:r>
        <w:rPr>
          <w:sz w:val="28"/>
          <w:szCs w:val="28"/>
        </w:rPr>
        <w:t>　　</w:t>
      </w:r>
      <w:r>
        <w:rPr>
          <w:rStyle w:val="14"/>
          <w:rFonts w:ascii="Helvetica Neue" w:hAnsi="Helvetica Neue"/>
          <w:color w:val="3E3E3E"/>
          <w:sz w:val="28"/>
          <w:szCs w:val="28"/>
        </w:rPr>
        <w:t>一、统一思想认识，全面落实研发费用加计扣除和推广自主创新示范区所得税试点政策</w:t>
      </w:r>
    </w:p>
    <w:p>
      <w:pPr>
        <w:rPr>
          <w:sz w:val="28"/>
          <w:szCs w:val="28"/>
        </w:rPr>
      </w:pPr>
      <w:r>
        <w:rPr>
          <w:sz w:val="28"/>
          <w:szCs w:val="28"/>
        </w:rPr>
        <w:t>　　为落实创新驱动发展战略，以定向结构性减税拉动有效投资，推动创新创业和促进产业升级，国务院决定，进一步完善研发费用税前加计扣除政策，将原适用于国家自主创新示范区的有限合伙制创投企业抵扣应纳税所得额，居民企业转让5年以上非独占许可使用权所得减免企业所得税，中小高新技术企业向个人股东转增股本、高新技术企业对本企业相关技术人员股权奖励可以在5年内分期缴纳个人所得税4项所得税政策，在全国范围内推广实施。</w:t>
      </w:r>
    </w:p>
    <w:p>
      <w:pPr>
        <w:rPr>
          <w:sz w:val="28"/>
          <w:szCs w:val="28"/>
        </w:rPr>
      </w:pPr>
      <w:r>
        <w:rPr>
          <w:sz w:val="28"/>
          <w:szCs w:val="28"/>
        </w:rPr>
        <w:t>　　适时完善研发费用税前加计扣除政策和推广国家自主创新示范区所得税试点政策，对发挥积极财政政策作用，推进结构调整和创新创业，缓解经济下行压力具有积极意义。这几项税收优惠政策“含金量”大、导向性强、社会关注度高，税务机关要统一思想、高度重视，统筹谋划、扎实部署，税政、征管、纳服、电税、宣传等部门要加强配合、通力合作，为纳税人享受税收优惠政策创造条件，切实减轻创新创业企业税收负担，将对企业的减免税转化为推动研究开发活动、促进创业创新的强大动力。</w:t>
      </w:r>
    </w:p>
    <w:p>
      <w:pPr>
        <w:rPr>
          <w:sz w:val="28"/>
          <w:szCs w:val="28"/>
        </w:rPr>
      </w:pPr>
      <w:r>
        <w:rPr>
          <w:sz w:val="28"/>
          <w:szCs w:val="28"/>
        </w:rPr>
        <w:t>　　</w:t>
      </w:r>
      <w:r>
        <w:rPr>
          <w:rStyle w:val="14"/>
          <w:rFonts w:ascii="Helvetica Neue" w:hAnsi="Helvetica Neue"/>
          <w:color w:val="3E3E3E"/>
          <w:sz w:val="28"/>
          <w:szCs w:val="28"/>
        </w:rPr>
        <w:t>二、强化宣传辅导，让享受优惠的纳税人有更多获得感</w:t>
      </w:r>
    </w:p>
    <w:p>
      <w:pPr>
        <w:rPr>
          <w:sz w:val="28"/>
          <w:szCs w:val="28"/>
        </w:rPr>
      </w:pPr>
      <w:r>
        <w:rPr>
          <w:sz w:val="28"/>
          <w:szCs w:val="28"/>
        </w:rPr>
        <w:t>　　一是利用报刊杂志、税务网站、微博、微信、办税服务厅宣传区域、12366纳税咨询热线等载体，通过答记者问、在线访谈等多种方式，扎实开展政策宣传工作。二是将税收优惠的政策规定、办税流程、申报要求、管理方式及时充实到12366知识库，规范12366人员答复口径，保证政策解释权威准确、容易理解、便于操作。三是尊重纳税人选择优惠政策权利。所得税优惠政策多，有些优惠政策不允许重叠享受，税务机关落实研发费用加计扣除和自主创新税收政策时，应尊重纳税人对不同优惠政策选择权，由纳税人自主选择优惠项目。四是要抓好优惠政策的学习消化和贯彻实施，使税务干部迅速掌握税收政策，增强服务技能。五是所得税管理部门要广开言路、跟踪问效，认真收集政策实施情况和存在问题，研究解决办法、提出解决建议，提升优惠政策贯彻落实水平。</w:t>
      </w:r>
    </w:p>
    <w:p>
      <w:pPr>
        <w:rPr>
          <w:sz w:val="28"/>
          <w:szCs w:val="28"/>
        </w:rPr>
      </w:pPr>
      <w:r>
        <w:rPr>
          <w:sz w:val="28"/>
          <w:szCs w:val="28"/>
        </w:rPr>
        <w:t>　　</w:t>
      </w:r>
      <w:r>
        <w:rPr>
          <w:rStyle w:val="14"/>
          <w:rFonts w:ascii="Helvetica Neue" w:hAnsi="Helvetica Neue"/>
          <w:color w:val="3E3E3E"/>
          <w:sz w:val="28"/>
          <w:szCs w:val="28"/>
        </w:rPr>
        <w:t>三、简化备案手续，建立“放、管、服”相结合管理机制</w:t>
      </w:r>
    </w:p>
    <w:p>
      <w:pPr>
        <w:rPr>
          <w:sz w:val="28"/>
          <w:szCs w:val="28"/>
        </w:rPr>
      </w:pPr>
      <w:r>
        <w:rPr>
          <w:sz w:val="28"/>
          <w:szCs w:val="28"/>
        </w:rPr>
        <w:t>　　严格按照《国家税务总局关于发布〈企业所得税优惠政策事项办理办法〉的公告》（国家税务总局公告2015年第76号）和《国家税务总局关于股权奖励和转增股本个人所得税征管问题的公告》（国家税务总局公告2015年第80号）规定，认真落实所得税优惠政策备案和后续管理工作。一是严禁擅自改变税收优惠管理方式，不得以任何理由变相审批。二是根据税收征管工作规范和纳税服务工作规范中有关所得税优惠内容，理顺办理流程，减轻办税负担。三是及时调整纳税申报软件、信息系统和纳税人端软件，为全面落实税收优惠政策提供技术支撑。四是把落实税收优惠和堵塞税收漏洞有机结合，既让符合税收政策条件的企业享受优惠，又善于利用风险管理、纳税评估、稽查等方法开展核查，发现弄虚作假套取税收优惠的，按照税收征管法规定处理。</w:t>
      </w:r>
    </w:p>
    <w:p>
      <w:pPr>
        <w:rPr>
          <w:sz w:val="28"/>
          <w:szCs w:val="28"/>
        </w:rPr>
      </w:pPr>
      <w:r>
        <w:rPr>
          <w:sz w:val="28"/>
          <w:szCs w:val="28"/>
        </w:rPr>
        <w:t>　　</w:t>
      </w:r>
      <w:r>
        <w:rPr>
          <w:rStyle w:val="14"/>
          <w:rFonts w:ascii="Helvetica Neue" w:hAnsi="Helvetica Neue"/>
          <w:color w:val="3E3E3E"/>
          <w:sz w:val="28"/>
          <w:szCs w:val="28"/>
        </w:rPr>
        <w:t>四、加强数据统计，认真做好减免税核算和政策效应分析工作</w:t>
      </w:r>
    </w:p>
    <w:p>
      <w:pPr>
        <w:rPr>
          <w:sz w:val="28"/>
          <w:szCs w:val="28"/>
        </w:rPr>
      </w:pPr>
      <w:r>
        <w:rPr>
          <w:sz w:val="28"/>
          <w:szCs w:val="28"/>
        </w:rPr>
        <w:t>　　要把研发费用加计扣除和自主创新税收政策作为当前重点减免税核算项目，扎实做好统计分析工作。按照不同优惠政策分项统计享受优惠的纳税人户数、占比、税额、同比增减情况和存在问题，既要纵向对比分析，又要从财政、工商、科技、开发区管委会等部门获取企业生产经营、高新技术企业资格、股权变更、研发项目立项等第三方信息进行横向比对，将其作为查摆问题，推动工作的抓手。通过深入细致的数据分析，研究论证税收优惠政策促进研发活动和创业创新的政策效应，为进一步完善政策、加强管理，提供参考依据。</w:t>
      </w:r>
    </w:p>
    <w:p>
      <w:pPr>
        <w:jc w:val="right"/>
        <w:rPr>
          <w:sz w:val="28"/>
          <w:szCs w:val="28"/>
        </w:rPr>
      </w:pPr>
    </w:p>
    <w:p>
      <w:pPr>
        <w:jc w:val="right"/>
        <w:rPr>
          <w:sz w:val="28"/>
          <w:szCs w:val="28"/>
        </w:rPr>
      </w:pPr>
      <w:r>
        <w:rPr>
          <w:sz w:val="28"/>
          <w:szCs w:val="28"/>
        </w:rPr>
        <w:t>国家税务总局</w:t>
      </w:r>
    </w:p>
    <w:p>
      <w:pPr>
        <w:jc w:val="right"/>
        <w:rPr>
          <w:sz w:val="28"/>
          <w:szCs w:val="28"/>
        </w:rPr>
      </w:pPr>
      <w:r>
        <w:rPr>
          <w:sz w:val="28"/>
          <w:szCs w:val="28"/>
        </w:rPr>
        <w:t>2015年12月9日</w:t>
      </w:r>
    </w:p>
    <w:p>
      <w:pPr>
        <w:rPr>
          <w:b/>
        </w:rPr>
      </w:pPr>
      <w:r>
        <w:rPr>
          <w:b/>
        </w:rPr>
        <w:t>转自：国家税务总局</w:t>
      </w:r>
    </w:p>
    <w:p>
      <w:pPr>
        <w:pStyle w:val="3"/>
        <w:jc w:val="center"/>
      </w:pPr>
      <w:bookmarkStart w:id="103" w:name="_Toc446322488"/>
      <w:bookmarkStart w:id="104" w:name="_Toc446326761"/>
      <w:bookmarkStart w:id="105" w:name="_Toc446324691"/>
      <w:bookmarkStart w:id="106" w:name="_Toc446330630"/>
      <w:bookmarkStart w:id="107" w:name="_Toc446330733"/>
      <w:r>
        <w:t>国家工商总局关于《严重违法失信企业名单管理暂行办法（征求意见稿）》公开征求意见的公告</w:t>
      </w:r>
      <w:bookmarkEnd w:id="103"/>
      <w:bookmarkEnd w:id="104"/>
      <w:bookmarkEnd w:id="105"/>
      <w:bookmarkEnd w:id="106"/>
      <w:bookmarkEnd w:id="107"/>
    </w:p>
    <w:p>
      <w:pPr>
        <w:jc w:val="left"/>
        <w:rPr>
          <w:rFonts w:asciiTheme="minorEastAsia" w:hAnsiTheme="minorEastAsia"/>
          <w:sz w:val="28"/>
          <w:szCs w:val="28"/>
        </w:rPr>
      </w:pPr>
      <w:r>
        <w:rPr>
          <w:rFonts w:asciiTheme="minorEastAsia" w:hAnsiTheme="minorEastAsia"/>
          <w:sz w:val="28"/>
          <w:szCs w:val="28"/>
        </w:rPr>
        <w:t>为了加强对严重违法失信企业的管理，促进企业诚信自律，扩大社会监督，国家工商行政管理总局起草了《严重违法失信企业名单管理暂行办法（征求意见稿）》。现向社会公开征求意见。公众可通过以下途径和方式提出反馈意见：</w:t>
      </w:r>
    </w:p>
    <w:p>
      <w:pPr>
        <w:jc w:val="left"/>
        <w:rPr>
          <w:rFonts w:asciiTheme="minorEastAsia" w:hAnsiTheme="minorEastAsia"/>
          <w:sz w:val="28"/>
          <w:szCs w:val="28"/>
        </w:rPr>
      </w:pPr>
      <w:r>
        <w:rPr>
          <w:rFonts w:asciiTheme="minorEastAsia" w:hAnsiTheme="minorEastAsia"/>
          <w:sz w:val="28"/>
          <w:szCs w:val="28"/>
        </w:rPr>
        <w:t>　　1.登录中国政府法制信息网（网址：http://www.chinalaw.gov.cn），通过网站首页左侧的“部门规章草案意见征集系统”对征求意见稿提出意见。</w:t>
      </w:r>
    </w:p>
    <w:p>
      <w:pPr>
        <w:jc w:val="left"/>
        <w:rPr>
          <w:rFonts w:asciiTheme="minorEastAsia" w:hAnsiTheme="minorEastAsia"/>
          <w:sz w:val="28"/>
          <w:szCs w:val="28"/>
        </w:rPr>
      </w:pPr>
      <w:r>
        <w:rPr>
          <w:rFonts w:asciiTheme="minorEastAsia" w:hAnsiTheme="minorEastAsia"/>
          <w:sz w:val="28"/>
          <w:szCs w:val="28"/>
        </w:rPr>
        <w:t>　　2.登录国家工商总局网站（网址：http://www.saic.gov.cn）,通过首页右侧“部门草案意见征集”栏提出意见。</w:t>
      </w:r>
    </w:p>
    <w:p>
      <w:pPr>
        <w:jc w:val="left"/>
        <w:rPr>
          <w:rFonts w:asciiTheme="minorEastAsia" w:hAnsiTheme="minorEastAsia"/>
          <w:sz w:val="28"/>
          <w:szCs w:val="28"/>
        </w:rPr>
      </w:pPr>
      <w:r>
        <w:rPr>
          <w:rFonts w:asciiTheme="minorEastAsia" w:hAnsiTheme="minorEastAsia"/>
          <w:sz w:val="28"/>
          <w:szCs w:val="28"/>
        </w:rPr>
        <w:t>　　3.通过信函方式将意见寄至：北京市西城区三里河东路8号国家工商总局企业监督管理局（邮编：100037）</w:t>
      </w:r>
    </w:p>
    <w:p>
      <w:pPr>
        <w:jc w:val="left"/>
        <w:rPr>
          <w:rFonts w:asciiTheme="minorEastAsia" w:hAnsiTheme="minorEastAsia"/>
          <w:sz w:val="28"/>
          <w:szCs w:val="28"/>
        </w:rPr>
      </w:pPr>
      <w:r>
        <w:rPr>
          <w:rFonts w:asciiTheme="minorEastAsia" w:hAnsiTheme="minorEastAsia"/>
          <w:sz w:val="28"/>
          <w:szCs w:val="28"/>
        </w:rPr>
        <w:t>　　4.通过电子邮件方式将意见发送至：jgjzdc@saic.gov.cn。</w:t>
      </w:r>
    </w:p>
    <w:p>
      <w:pPr>
        <w:jc w:val="left"/>
        <w:rPr>
          <w:rFonts w:asciiTheme="minorEastAsia" w:hAnsiTheme="minorEastAsia"/>
          <w:sz w:val="28"/>
          <w:szCs w:val="28"/>
        </w:rPr>
      </w:pPr>
      <w:r>
        <w:rPr>
          <w:rFonts w:asciiTheme="minorEastAsia" w:hAnsiTheme="minorEastAsia"/>
          <w:sz w:val="28"/>
          <w:szCs w:val="28"/>
        </w:rPr>
        <w:t>　　意见反馈截止时间为2015年12月19日。　</w:t>
      </w:r>
    </w:p>
    <w:p>
      <w:pPr>
        <w:jc w:val="right"/>
        <w:rPr>
          <w:rFonts w:asciiTheme="minorEastAsia" w:hAnsiTheme="minorEastAsia"/>
          <w:sz w:val="28"/>
          <w:szCs w:val="28"/>
        </w:rPr>
      </w:pPr>
      <w:r>
        <w:rPr>
          <w:rFonts w:asciiTheme="minorEastAsia" w:hAnsiTheme="minorEastAsia"/>
          <w:sz w:val="28"/>
          <w:szCs w:val="28"/>
        </w:rPr>
        <w:t>　国家工商行政管理总局</w:t>
      </w:r>
    </w:p>
    <w:p>
      <w:pPr>
        <w:jc w:val="right"/>
        <w:rPr>
          <w:rFonts w:asciiTheme="minorEastAsia" w:hAnsiTheme="minorEastAsia"/>
          <w:sz w:val="28"/>
          <w:szCs w:val="28"/>
        </w:rPr>
      </w:pPr>
      <w:r>
        <w:rPr>
          <w:rFonts w:asciiTheme="minorEastAsia" w:hAnsiTheme="minorEastAsia"/>
          <w:sz w:val="28"/>
          <w:szCs w:val="28"/>
        </w:rPr>
        <w:t>　　2015年12月9日</w:t>
      </w:r>
    </w:p>
    <w:p>
      <w:pPr>
        <w:rPr>
          <w:b/>
        </w:rPr>
      </w:pPr>
      <w:r>
        <w:rPr>
          <w:b/>
        </w:rPr>
        <w:t>转自：中央政府门户网站</w:t>
      </w:r>
    </w:p>
    <w:p>
      <w:pPr>
        <w:rPr>
          <w:b/>
        </w:rPr>
      </w:pPr>
    </w:p>
    <w:p>
      <w:pPr>
        <w:rPr>
          <w:b/>
        </w:rPr>
      </w:pPr>
    </w:p>
    <w:p>
      <w:pPr>
        <w:rPr>
          <w:b/>
        </w:rPr>
      </w:pPr>
    </w:p>
    <w:p>
      <w:pPr>
        <w:pStyle w:val="3"/>
        <w:jc w:val="center"/>
        <w:rPr>
          <w:rFonts w:asciiTheme="minorEastAsia" w:hAnsiTheme="minorEastAsia"/>
          <w:sz w:val="24"/>
          <w:szCs w:val="24"/>
        </w:rPr>
      </w:pPr>
      <w:bookmarkStart w:id="108" w:name="_Toc446326762"/>
      <w:bookmarkStart w:id="109" w:name="_Toc446324692"/>
      <w:bookmarkStart w:id="110" w:name="_Toc446330631"/>
      <w:bookmarkStart w:id="111" w:name="_Toc446330734"/>
      <w:bookmarkStart w:id="112" w:name="_Toc446322489"/>
      <w:r>
        <w:t>关于开展商贸流通领域监督检查和特殊行业风险排查工作的通知</w:t>
      </w:r>
      <w:bookmarkEnd w:id="108"/>
      <w:bookmarkEnd w:id="109"/>
      <w:bookmarkEnd w:id="110"/>
      <w:bookmarkEnd w:id="111"/>
      <w:bookmarkEnd w:id="112"/>
    </w:p>
    <w:p>
      <w:pPr>
        <w:rPr>
          <w:b/>
        </w:rPr>
      </w:pPr>
    </w:p>
    <w:p>
      <w:pPr>
        <w:jc w:val="center"/>
        <w:rPr>
          <w:rFonts w:asciiTheme="minorEastAsia" w:hAnsiTheme="minorEastAsia"/>
          <w:sz w:val="28"/>
          <w:szCs w:val="28"/>
        </w:rPr>
      </w:pPr>
      <w:r>
        <w:rPr>
          <w:rFonts w:hint="eastAsia" w:asciiTheme="minorEastAsia" w:hAnsiTheme="minorEastAsia"/>
          <w:sz w:val="28"/>
          <w:szCs w:val="28"/>
        </w:rPr>
        <w:t>京商务秩字〔2016〕2号</w:t>
      </w:r>
    </w:p>
    <w:p>
      <w:pPr>
        <w:jc w:val="center"/>
        <w:rPr>
          <w:rFonts w:asciiTheme="minorEastAsia" w:hAnsiTheme="minorEastAsia"/>
          <w:color w:val="3E3E3E"/>
          <w:sz w:val="28"/>
          <w:szCs w:val="28"/>
        </w:rPr>
      </w:pPr>
    </w:p>
    <w:p>
      <w:pPr>
        <w:rPr>
          <w:rFonts w:asciiTheme="minorEastAsia" w:hAnsiTheme="minorEastAsia"/>
          <w:color w:val="4E4E4E"/>
          <w:sz w:val="28"/>
          <w:szCs w:val="28"/>
        </w:rPr>
      </w:pPr>
      <w:r>
        <w:rPr>
          <w:rFonts w:hint="eastAsia" w:asciiTheme="minorEastAsia" w:hAnsiTheme="minorEastAsia"/>
          <w:color w:val="4E4E4E"/>
          <w:sz w:val="28"/>
          <w:szCs w:val="28"/>
        </w:rPr>
        <w:t>各区商务委、各相关处室、市商务执法监察大队：</w:t>
      </w:r>
    </w:p>
    <w:p>
      <w:pPr>
        <w:rPr>
          <w:rFonts w:asciiTheme="minorEastAsia" w:hAnsiTheme="minorEastAsia"/>
          <w:color w:val="4E4E4E"/>
          <w:sz w:val="28"/>
          <w:szCs w:val="28"/>
        </w:rPr>
      </w:pPr>
      <w:r>
        <w:rPr>
          <w:rFonts w:hint="eastAsia" w:asciiTheme="minorEastAsia" w:hAnsiTheme="minorEastAsia"/>
          <w:color w:val="4E4E4E"/>
          <w:sz w:val="28"/>
          <w:szCs w:val="28"/>
        </w:rPr>
        <w:t>　　根据《商务部办公厅关于开展商贸流通有关领域检查和特殊行业风险排查工作的通知》要求，为进一步做好春节、“两会”期间首都商贸流通领域安全生产、秩序监管、特殊行业风险排查以及市场商品供应等工作，现就相关事项通知如下：</w:t>
      </w:r>
    </w:p>
    <w:p>
      <w:pPr>
        <w:rPr>
          <w:rFonts w:asciiTheme="minorEastAsia" w:hAnsiTheme="minorEastAsia"/>
          <w:color w:val="4E4E4E"/>
          <w:sz w:val="28"/>
          <w:szCs w:val="28"/>
        </w:rPr>
      </w:pPr>
      <w:r>
        <w:rPr>
          <w:rFonts w:hint="eastAsia" w:asciiTheme="minorEastAsia" w:hAnsiTheme="minorEastAsia"/>
          <w:color w:val="4E4E4E"/>
          <w:sz w:val="28"/>
          <w:szCs w:val="28"/>
        </w:rPr>
        <w:t>　　</w:t>
      </w:r>
      <w:r>
        <w:rPr>
          <w:rStyle w:val="14"/>
          <w:rFonts w:hint="eastAsia" w:asciiTheme="minorEastAsia" w:hAnsiTheme="minorEastAsia"/>
          <w:color w:val="4E4E4E"/>
          <w:sz w:val="28"/>
          <w:szCs w:val="28"/>
        </w:rPr>
        <w:t>一、开展商贸领域安全生产检查工作</w:t>
      </w:r>
      <w:r>
        <w:rPr>
          <w:rFonts w:hint="eastAsia" w:asciiTheme="minorEastAsia" w:hAnsiTheme="minorEastAsia"/>
          <w:color w:val="4E4E4E"/>
          <w:sz w:val="28"/>
          <w:szCs w:val="28"/>
        </w:rPr>
        <w:br w:type="textWrapping"/>
      </w:r>
      <w:r>
        <w:rPr>
          <w:rFonts w:hint="eastAsia" w:asciiTheme="minorEastAsia" w:hAnsiTheme="minorEastAsia"/>
          <w:color w:val="4E4E4E"/>
          <w:sz w:val="28"/>
          <w:szCs w:val="28"/>
        </w:rPr>
        <w:t>　　</w:t>
      </w:r>
      <w:r>
        <w:rPr>
          <w:rStyle w:val="14"/>
          <w:rFonts w:hint="eastAsia" w:asciiTheme="minorEastAsia" w:hAnsiTheme="minorEastAsia"/>
          <w:color w:val="4E4E4E"/>
          <w:sz w:val="28"/>
          <w:szCs w:val="28"/>
        </w:rPr>
        <w:t>(一)突出落实责任</w:t>
      </w:r>
      <w:r>
        <w:rPr>
          <w:rFonts w:hint="eastAsia" w:asciiTheme="minorEastAsia" w:hAnsiTheme="minorEastAsia"/>
          <w:color w:val="4E4E4E"/>
          <w:sz w:val="28"/>
          <w:szCs w:val="28"/>
        </w:rPr>
        <w:t> </w:t>
      </w:r>
      <w:r>
        <w:rPr>
          <w:rFonts w:hint="eastAsia" w:asciiTheme="minorEastAsia" w:hAnsiTheme="minorEastAsia"/>
          <w:color w:val="4E4E4E"/>
          <w:sz w:val="28"/>
          <w:szCs w:val="28"/>
        </w:rPr>
        <w:br w:type="textWrapping"/>
      </w:r>
      <w:r>
        <w:rPr>
          <w:rFonts w:hint="eastAsia" w:asciiTheme="minorEastAsia" w:hAnsiTheme="minorEastAsia"/>
          <w:color w:val="4E4E4E"/>
          <w:sz w:val="28"/>
          <w:szCs w:val="28"/>
        </w:rPr>
        <w:t>　　各单位要按照“党政同责、一岗双责”和“管行业必须管安全”、“管业务必须管安全”、“管生产经营必须管安全”的要求，全面落实安全生产责任和管理措施；要提高做好春节、“两会”期间安全稳定工作重要性的认识；切实落实行业监督管理责任和企业主体责任；切实落实并做好烟花爆竹安全管理工作、预防煤气中毒工作、冬春季火灾防控等工作。</w:t>
      </w:r>
      <w:r>
        <w:rPr>
          <w:rFonts w:hint="eastAsia" w:asciiTheme="minorEastAsia" w:hAnsiTheme="minorEastAsia"/>
          <w:color w:val="4E4E4E"/>
          <w:sz w:val="28"/>
          <w:szCs w:val="28"/>
        </w:rPr>
        <w:br w:type="textWrapping"/>
      </w:r>
      <w:r>
        <w:rPr>
          <w:rFonts w:hint="eastAsia" w:asciiTheme="minorEastAsia" w:hAnsiTheme="minorEastAsia"/>
          <w:color w:val="4E4E4E"/>
          <w:sz w:val="28"/>
          <w:szCs w:val="28"/>
        </w:rPr>
        <w:t>　　</w:t>
      </w:r>
      <w:r>
        <w:rPr>
          <w:rStyle w:val="14"/>
          <w:rFonts w:hint="eastAsia" w:asciiTheme="minorEastAsia" w:hAnsiTheme="minorEastAsia"/>
          <w:color w:val="4E4E4E"/>
          <w:sz w:val="28"/>
          <w:szCs w:val="28"/>
        </w:rPr>
        <w:t>(二)加强隐患整改</w:t>
      </w:r>
      <w:r>
        <w:rPr>
          <w:rFonts w:hint="eastAsia" w:asciiTheme="minorEastAsia" w:hAnsiTheme="minorEastAsia"/>
          <w:color w:val="4E4E4E"/>
          <w:sz w:val="28"/>
          <w:szCs w:val="28"/>
        </w:rPr>
        <w:br w:type="textWrapping"/>
      </w:r>
      <w:r>
        <w:rPr>
          <w:rFonts w:hint="eastAsia" w:asciiTheme="minorEastAsia" w:hAnsiTheme="minorEastAsia"/>
          <w:color w:val="4E4E4E"/>
          <w:sz w:val="28"/>
          <w:szCs w:val="28"/>
        </w:rPr>
        <w:t>　　各单位要注重从源头加强监管，坚持预防为主，加大执法检查力度，一是组织开展安全生产检查，督促经营单位切实做好燃气、电气安全管理、可燃物清理和火灾防控等工作。二是要主动做好各类安全隐患的自查整改工作，全力消除隐患，积极落实有关部门监督管理工作要求，确保单位内部不发生各类安全事故。</w:t>
      </w:r>
      <w:r>
        <w:rPr>
          <w:rFonts w:hint="eastAsia" w:asciiTheme="minorEastAsia" w:hAnsiTheme="minorEastAsia"/>
          <w:color w:val="4E4E4E"/>
          <w:sz w:val="28"/>
          <w:szCs w:val="28"/>
        </w:rPr>
        <w:br w:type="textWrapping"/>
      </w:r>
      <w:r>
        <w:rPr>
          <w:rFonts w:hint="eastAsia" w:asciiTheme="minorEastAsia" w:hAnsiTheme="minorEastAsia"/>
          <w:color w:val="4E4E4E"/>
          <w:sz w:val="28"/>
          <w:szCs w:val="28"/>
        </w:rPr>
        <w:t>　　</w:t>
      </w:r>
      <w:r>
        <w:rPr>
          <w:rStyle w:val="14"/>
          <w:rFonts w:hint="eastAsia" w:asciiTheme="minorEastAsia" w:hAnsiTheme="minorEastAsia"/>
          <w:color w:val="4E4E4E"/>
          <w:sz w:val="28"/>
          <w:szCs w:val="28"/>
        </w:rPr>
        <w:t>（三）强化宣传教育</w:t>
      </w:r>
      <w:r>
        <w:rPr>
          <w:rFonts w:hint="eastAsia" w:asciiTheme="minorEastAsia" w:hAnsiTheme="minorEastAsia"/>
          <w:color w:val="4E4E4E"/>
          <w:sz w:val="28"/>
          <w:szCs w:val="28"/>
        </w:rPr>
        <w:br w:type="textWrapping"/>
      </w:r>
      <w:r>
        <w:rPr>
          <w:rFonts w:hint="eastAsia" w:asciiTheme="minorEastAsia" w:hAnsiTheme="minorEastAsia"/>
          <w:color w:val="4E4E4E"/>
          <w:sz w:val="28"/>
          <w:szCs w:val="28"/>
        </w:rPr>
        <w:t>　　各单位要督促企业在春节、“两会”前组织开展全员教育培训、安全隐患排查、事故应急演练。加强对从业人员风险意识和安全教育培训力度，牢记应知应会和自救逃生常识，熟练使用各类应急和防恐器材设施。</w:t>
      </w:r>
      <w:r>
        <w:rPr>
          <w:rFonts w:hint="eastAsia" w:asciiTheme="minorEastAsia" w:hAnsiTheme="minorEastAsia"/>
          <w:color w:val="4E4E4E"/>
          <w:sz w:val="28"/>
          <w:szCs w:val="28"/>
        </w:rPr>
        <w:br w:type="textWrapping"/>
      </w:r>
      <w:r>
        <w:rPr>
          <w:rFonts w:hint="eastAsia" w:asciiTheme="minorEastAsia" w:hAnsiTheme="minorEastAsia"/>
          <w:color w:val="4E4E4E"/>
          <w:sz w:val="28"/>
          <w:szCs w:val="28"/>
        </w:rPr>
        <w:t>　　</w:t>
      </w:r>
      <w:r>
        <w:rPr>
          <w:rStyle w:val="14"/>
          <w:rFonts w:hint="eastAsia" w:asciiTheme="minorEastAsia" w:hAnsiTheme="minorEastAsia"/>
          <w:color w:val="4E4E4E"/>
          <w:sz w:val="28"/>
          <w:szCs w:val="28"/>
        </w:rPr>
        <w:t>（四）加强应急值守</w:t>
      </w:r>
      <w:r>
        <w:rPr>
          <w:rFonts w:hint="eastAsia" w:asciiTheme="minorEastAsia" w:hAnsiTheme="minorEastAsia"/>
          <w:color w:val="4E4E4E"/>
          <w:sz w:val="28"/>
          <w:szCs w:val="28"/>
        </w:rPr>
        <w:br w:type="textWrapping"/>
      </w:r>
      <w:r>
        <w:rPr>
          <w:rFonts w:hint="eastAsia" w:asciiTheme="minorEastAsia" w:hAnsiTheme="minorEastAsia"/>
          <w:color w:val="4E4E4E"/>
          <w:sz w:val="28"/>
          <w:szCs w:val="28"/>
        </w:rPr>
        <w:t>　　各单位要督促企业认真落实各项应急值守规定和值班领导（店长）责任制，严格执行领导带班制度，值班人员要在岗在位。</w:t>
      </w:r>
    </w:p>
    <w:p>
      <w:pPr>
        <w:rPr>
          <w:rFonts w:asciiTheme="minorEastAsia" w:hAnsiTheme="minorEastAsia"/>
          <w:color w:val="4E4E4E"/>
          <w:sz w:val="28"/>
          <w:szCs w:val="28"/>
        </w:rPr>
      </w:pPr>
      <w:r>
        <w:rPr>
          <w:rFonts w:hint="eastAsia" w:asciiTheme="minorEastAsia" w:hAnsiTheme="minorEastAsia"/>
          <w:color w:val="4E4E4E"/>
          <w:sz w:val="28"/>
          <w:szCs w:val="28"/>
        </w:rPr>
        <w:t>　　</w:t>
      </w:r>
      <w:r>
        <w:rPr>
          <w:rStyle w:val="14"/>
          <w:rFonts w:hint="eastAsia" w:asciiTheme="minorEastAsia" w:hAnsiTheme="minorEastAsia"/>
          <w:color w:val="4E4E4E"/>
          <w:sz w:val="28"/>
          <w:szCs w:val="28"/>
        </w:rPr>
        <w:t>二、开展商贸领域秩序监管工作</w:t>
      </w:r>
      <w:r>
        <w:rPr>
          <w:rFonts w:hint="eastAsia" w:asciiTheme="minorEastAsia" w:hAnsiTheme="minorEastAsia"/>
          <w:color w:val="4E4E4E"/>
          <w:sz w:val="28"/>
          <w:szCs w:val="28"/>
        </w:rPr>
        <w:br w:type="textWrapping"/>
      </w:r>
      <w:r>
        <w:rPr>
          <w:rFonts w:hint="eastAsia" w:asciiTheme="minorEastAsia" w:hAnsiTheme="minorEastAsia"/>
          <w:color w:val="4E4E4E"/>
          <w:sz w:val="28"/>
          <w:szCs w:val="28"/>
        </w:rPr>
        <w:t>　　</w:t>
      </w:r>
      <w:r>
        <w:rPr>
          <w:rStyle w:val="14"/>
          <w:rFonts w:hint="eastAsia" w:asciiTheme="minorEastAsia" w:hAnsiTheme="minorEastAsia"/>
          <w:color w:val="4E4E4E"/>
          <w:sz w:val="28"/>
          <w:szCs w:val="28"/>
        </w:rPr>
        <w:t>（一）商业零售经营单位促销活动检查</w:t>
      </w:r>
      <w:r>
        <w:rPr>
          <w:rFonts w:hint="eastAsia" w:asciiTheme="minorEastAsia" w:hAnsiTheme="minorEastAsia"/>
          <w:color w:val="4E4E4E"/>
          <w:sz w:val="28"/>
          <w:szCs w:val="28"/>
        </w:rPr>
        <w:br w:type="textWrapping"/>
      </w:r>
      <w:r>
        <w:rPr>
          <w:rFonts w:hint="eastAsia" w:asciiTheme="minorEastAsia" w:hAnsiTheme="minorEastAsia"/>
          <w:color w:val="4E4E4E"/>
          <w:sz w:val="28"/>
          <w:szCs w:val="28"/>
        </w:rPr>
        <w:t>　　检查全市建筑面积在1000平方米以上或者地下建筑面积在500平方米以上的商业零售经营单位在经营场所举办的促销活动，将重点商圈、大型连锁商业零售经营单位促销活动纳入此次检查的重点。全面检查商业零售经营单位促销安全责任制落实情况、促销活动应急管理情况等，并及时查处各类违规促销行为。</w:t>
      </w:r>
      <w:r>
        <w:rPr>
          <w:rFonts w:hint="eastAsia" w:asciiTheme="minorEastAsia" w:hAnsiTheme="minorEastAsia"/>
          <w:color w:val="4E4E4E"/>
          <w:sz w:val="28"/>
          <w:szCs w:val="28"/>
        </w:rPr>
        <w:br w:type="textWrapping"/>
      </w:r>
      <w:r>
        <w:rPr>
          <w:rFonts w:hint="eastAsia" w:asciiTheme="minorEastAsia" w:hAnsiTheme="minorEastAsia"/>
          <w:color w:val="4E4E4E"/>
          <w:sz w:val="28"/>
          <w:szCs w:val="28"/>
        </w:rPr>
        <w:t>　　</w:t>
      </w:r>
      <w:r>
        <w:rPr>
          <w:rStyle w:val="14"/>
          <w:rFonts w:hint="eastAsia" w:asciiTheme="minorEastAsia" w:hAnsiTheme="minorEastAsia"/>
          <w:color w:val="4E4E4E"/>
          <w:sz w:val="28"/>
          <w:szCs w:val="28"/>
        </w:rPr>
        <w:t>（二）商业企业单用途商业预付卡检查</w:t>
      </w:r>
      <w:r>
        <w:rPr>
          <w:rFonts w:hint="eastAsia" w:asciiTheme="minorEastAsia" w:hAnsiTheme="minorEastAsia"/>
          <w:color w:val="4E4E4E"/>
          <w:sz w:val="28"/>
          <w:szCs w:val="28"/>
        </w:rPr>
        <w:br w:type="textWrapping"/>
      </w:r>
      <w:r>
        <w:rPr>
          <w:rFonts w:hint="eastAsia" w:asciiTheme="minorEastAsia" w:hAnsiTheme="minorEastAsia"/>
          <w:color w:val="4E4E4E"/>
          <w:sz w:val="28"/>
          <w:szCs w:val="28"/>
        </w:rPr>
        <w:t>　　检查全市已备案的规模、品牌、集团发卡企业和未备案的相关发卡企业，重点是大型商场（超市）、大型餐饮、美容美发等预付卡发行规模大、用卡占比高、消费者数量多的发卡企业。通过检查督促未备案企业尽快备案，已备案企业依法依规发行预付卡，同时从严从重处理违规发卡企业，逐步规范单用途商业预付卡市场.</w:t>
      </w:r>
      <w:r>
        <w:rPr>
          <w:rFonts w:hint="eastAsia" w:asciiTheme="minorEastAsia" w:hAnsiTheme="minorEastAsia"/>
          <w:color w:val="4E4E4E"/>
          <w:sz w:val="28"/>
          <w:szCs w:val="28"/>
        </w:rPr>
        <w:br w:type="textWrapping"/>
      </w:r>
      <w:r>
        <w:rPr>
          <w:rFonts w:hint="eastAsia" w:asciiTheme="minorEastAsia" w:hAnsiTheme="minorEastAsia"/>
          <w:color w:val="4E4E4E"/>
          <w:sz w:val="28"/>
          <w:szCs w:val="28"/>
        </w:rPr>
        <w:t>　　</w:t>
      </w:r>
      <w:r>
        <w:rPr>
          <w:rStyle w:val="14"/>
          <w:rFonts w:hint="eastAsia" w:asciiTheme="minorEastAsia" w:hAnsiTheme="minorEastAsia"/>
          <w:color w:val="4E4E4E"/>
          <w:sz w:val="28"/>
          <w:szCs w:val="28"/>
        </w:rPr>
        <w:t>（三）强化管制刀具销售管理</w:t>
      </w:r>
      <w:r>
        <w:rPr>
          <w:rFonts w:hint="eastAsia" w:asciiTheme="minorEastAsia" w:hAnsiTheme="minorEastAsia"/>
          <w:color w:val="4E4E4E"/>
          <w:sz w:val="28"/>
          <w:szCs w:val="28"/>
        </w:rPr>
        <w:br w:type="textWrapping"/>
      </w:r>
      <w:r>
        <w:rPr>
          <w:rFonts w:hint="eastAsia" w:asciiTheme="minorEastAsia" w:hAnsiTheme="minorEastAsia"/>
          <w:color w:val="4E4E4E"/>
          <w:sz w:val="28"/>
          <w:szCs w:val="28"/>
        </w:rPr>
        <w:t>　　各单位要指导商业零售经营单位严格落实刀具管控措施，禁止销售工业管制刀具（匕首、三棱刮刀），对民用管制刀具销售采取“凭证购买、实名登记、三禁两报告”等特殊管控措施，管制刀具销售人员要认真核实民用管制刀具购买人的身份证件（身份证、暂住证），如实登记购买人姓名、身份证号码、购买时间、管制刀具种类等信息。要严格落实“三禁两报告制度”，即不得向行为异常、精神异常和未成年人等三类人出售管制刀具，对在经营活动中发现的行为异常、精神异常等两类管制刀具购买人，要立即向属地公安机关报告，严防管制刀具流入极端分子手中。</w:t>
      </w:r>
      <w:r>
        <w:rPr>
          <w:rFonts w:hint="eastAsia" w:asciiTheme="minorEastAsia" w:hAnsiTheme="minorEastAsia"/>
          <w:color w:val="4E4E4E"/>
          <w:sz w:val="28"/>
          <w:szCs w:val="28"/>
        </w:rPr>
        <w:br w:type="textWrapping"/>
      </w:r>
      <w:r>
        <w:rPr>
          <w:rFonts w:hint="eastAsia" w:asciiTheme="minorEastAsia" w:hAnsiTheme="minorEastAsia"/>
          <w:color w:val="4E4E4E"/>
          <w:sz w:val="28"/>
          <w:szCs w:val="28"/>
        </w:rPr>
        <w:t>　　</w:t>
      </w:r>
      <w:r>
        <w:rPr>
          <w:rStyle w:val="14"/>
          <w:rFonts w:hint="eastAsia" w:asciiTheme="minorEastAsia" w:hAnsiTheme="minorEastAsia"/>
          <w:color w:val="4E4E4E"/>
          <w:sz w:val="28"/>
          <w:szCs w:val="28"/>
        </w:rPr>
        <w:t>（四）督促商业企业开展控烟活动</w:t>
      </w:r>
      <w:r>
        <w:rPr>
          <w:rFonts w:hint="eastAsia" w:asciiTheme="minorEastAsia" w:hAnsiTheme="minorEastAsia"/>
          <w:color w:val="4E4E4E"/>
          <w:sz w:val="28"/>
          <w:szCs w:val="28"/>
        </w:rPr>
        <w:br w:type="textWrapping"/>
      </w:r>
      <w:r>
        <w:rPr>
          <w:rFonts w:hint="eastAsia" w:asciiTheme="minorEastAsia" w:hAnsiTheme="minorEastAsia"/>
          <w:color w:val="4E4E4E"/>
          <w:sz w:val="28"/>
          <w:szCs w:val="28"/>
        </w:rPr>
        <w:t>　　各单位要对商业企业控制吸烟工作进行监督管理，要将餐饮企业控烟作为工作重点，督促商业企业落实国务院《关于进一步加强新时期爱国卫生工作的意见》和《北京市控制吸烟条例》，开展宣传培训，创造良好公共环境，春节、“两会”期间要重点抽查大型连锁商业零售经营单位、餐饮等商业企业落实《北京市控制吸烟条例》情况，现场查阅控烟宣传、会议落实等相关资料。督促存在问题的商业企业提出对策建议和整改措施，切实解决控烟违规问题，及时消除隐患，有效提高控烟管理能力。</w:t>
      </w:r>
      <w:r>
        <w:rPr>
          <w:rFonts w:hint="eastAsia" w:asciiTheme="minorEastAsia" w:hAnsiTheme="minorEastAsia"/>
          <w:color w:val="4E4E4E"/>
          <w:sz w:val="28"/>
          <w:szCs w:val="28"/>
        </w:rPr>
        <w:br w:type="textWrapping"/>
      </w:r>
      <w:r>
        <w:rPr>
          <w:rFonts w:hint="eastAsia" w:asciiTheme="minorEastAsia" w:hAnsiTheme="minorEastAsia"/>
          <w:color w:val="4E4E4E"/>
          <w:sz w:val="28"/>
          <w:szCs w:val="28"/>
        </w:rPr>
        <w:t>　　</w:t>
      </w:r>
      <w:r>
        <w:rPr>
          <w:rStyle w:val="14"/>
          <w:rFonts w:hint="eastAsia" w:asciiTheme="minorEastAsia" w:hAnsiTheme="minorEastAsia"/>
          <w:color w:val="4E4E4E"/>
          <w:sz w:val="28"/>
          <w:szCs w:val="28"/>
        </w:rPr>
        <w:t>（五）加强商务领域反恐维稳工作</w:t>
      </w:r>
      <w:r>
        <w:rPr>
          <w:rFonts w:hint="eastAsia" w:asciiTheme="minorEastAsia" w:hAnsiTheme="minorEastAsia"/>
          <w:color w:val="4E4E4E"/>
          <w:sz w:val="28"/>
          <w:szCs w:val="28"/>
        </w:rPr>
        <w:br w:type="textWrapping"/>
      </w:r>
      <w:r>
        <w:rPr>
          <w:rFonts w:hint="eastAsia" w:asciiTheme="minorEastAsia" w:hAnsiTheme="minorEastAsia"/>
          <w:color w:val="4E4E4E"/>
          <w:sz w:val="28"/>
          <w:szCs w:val="28"/>
        </w:rPr>
        <w:t>　　各单位要高度重视春节、“两会”期间的反恐维稳工作，充分认清当前反恐怖斗争形势的严峻性和紧迫性，切实增强责任感和紧迫感。加强对特色商业街区、大型商场和连锁超市、物流基地、餐饮企业、洗浴场所、二手车交易市场、加油站等商务领域人员密集场所和重点行业场所的反恐维稳检查，督促相关单位落实反恐维稳责任。同时要强化领导带班制度，严格落实各项应急值守规定，遇到重大突发情况要及时上报、妥善处置。</w:t>
      </w:r>
    </w:p>
    <w:p>
      <w:pPr>
        <w:rPr>
          <w:rFonts w:asciiTheme="minorEastAsia" w:hAnsiTheme="minorEastAsia"/>
          <w:color w:val="4E4E4E"/>
          <w:sz w:val="28"/>
          <w:szCs w:val="28"/>
        </w:rPr>
      </w:pPr>
      <w:r>
        <w:rPr>
          <w:rFonts w:hint="eastAsia" w:asciiTheme="minorEastAsia" w:hAnsiTheme="minorEastAsia"/>
          <w:color w:val="4E4E4E"/>
          <w:sz w:val="28"/>
          <w:szCs w:val="28"/>
        </w:rPr>
        <w:t>　　</w:t>
      </w:r>
      <w:r>
        <w:rPr>
          <w:rStyle w:val="14"/>
          <w:rFonts w:hint="eastAsia" w:asciiTheme="minorEastAsia" w:hAnsiTheme="minorEastAsia"/>
          <w:color w:val="4E4E4E"/>
          <w:sz w:val="28"/>
          <w:szCs w:val="28"/>
        </w:rPr>
        <w:t>三、开展有关特殊行业风险排查</w:t>
      </w:r>
      <w:r>
        <w:rPr>
          <w:rFonts w:hint="eastAsia" w:asciiTheme="minorEastAsia" w:hAnsiTheme="minorEastAsia"/>
          <w:color w:val="4E4E4E"/>
          <w:sz w:val="28"/>
          <w:szCs w:val="28"/>
        </w:rPr>
        <w:br w:type="textWrapping"/>
      </w:r>
      <w:r>
        <w:rPr>
          <w:rFonts w:hint="eastAsia" w:asciiTheme="minorEastAsia" w:hAnsiTheme="minorEastAsia"/>
          <w:color w:val="4E4E4E"/>
          <w:sz w:val="28"/>
          <w:szCs w:val="28"/>
        </w:rPr>
        <w:t>　　</w:t>
      </w:r>
      <w:r>
        <w:rPr>
          <w:rStyle w:val="14"/>
          <w:rFonts w:hint="eastAsia" w:asciiTheme="minorEastAsia" w:hAnsiTheme="minorEastAsia"/>
          <w:color w:val="4E4E4E"/>
          <w:sz w:val="28"/>
          <w:szCs w:val="28"/>
        </w:rPr>
        <w:t>（一）典当、融资租赁、拍卖行业非法集资风险排查</w:t>
      </w:r>
      <w:r>
        <w:rPr>
          <w:rFonts w:hint="eastAsia" w:asciiTheme="minorEastAsia" w:hAnsiTheme="minorEastAsia"/>
          <w:color w:val="4E4E4E"/>
          <w:sz w:val="28"/>
          <w:szCs w:val="28"/>
        </w:rPr>
        <w:br w:type="textWrapping"/>
      </w:r>
      <w:r>
        <w:rPr>
          <w:rFonts w:hint="eastAsia" w:asciiTheme="minorEastAsia" w:hAnsiTheme="minorEastAsia"/>
          <w:color w:val="4E4E4E"/>
          <w:sz w:val="28"/>
          <w:szCs w:val="28"/>
        </w:rPr>
        <w:t>　　各单位要按照《典当管理办法》（商务部 公安部2005年第8号令）、《典当行业监管规定》（商流通发[2012]423号）、《融资租赁企业监督管理办法》（商流通发[2013]337号）、市商务委《关于开展2015年度拍卖企业核查工作的通知》（京商务交字[2016]8号）、市打非办《关于印发〈北京市打击非法集资专项整治行动工作方案〉的通知》等文件要求，做好对典当、融资租赁、拍卖行业的非法集资集资风险排查工作，重点排查企业是否存在非法集资、吸收或变相吸收公众存款、发放贷款等违法违规行为，切实守住不发生系统性、区域性风险的底线。</w:t>
      </w:r>
      <w:r>
        <w:rPr>
          <w:rFonts w:hint="eastAsia" w:asciiTheme="minorEastAsia" w:hAnsiTheme="minorEastAsia"/>
          <w:color w:val="4E4E4E"/>
          <w:sz w:val="28"/>
          <w:szCs w:val="28"/>
        </w:rPr>
        <w:br w:type="textWrapping"/>
      </w:r>
      <w:r>
        <w:rPr>
          <w:rFonts w:hint="eastAsia" w:asciiTheme="minorEastAsia" w:hAnsiTheme="minorEastAsia"/>
          <w:color w:val="4E4E4E"/>
          <w:sz w:val="28"/>
          <w:szCs w:val="28"/>
        </w:rPr>
        <w:t>　　</w:t>
      </w:r>
      <w:r>
        <w:rPr>
          <w:rStyle w:val="14"/>
          <w:rFonts w:hint="eastAsia" w:asciiTheme="minorEastAsia" w:hAnsiTheme="minorEastAsia"/>
          <w:color w:val="4E4E4E"/>
          <w:sz w:val="28"/>
          <w:szCs w:val="28"/>
        </w:rPr>
        <w:t>（二）大宗商品现货市场风险排查</w:t>
      </w:r>
      <w:r>
        <w:rPr>
          <w:rFonts w:hint="eastAsia" w:asciiTheme="minorEastAsia" w:hAnsiTheme="minorEastAsia"/>
          <w:color w:val="4E4E4E"/>
          <w:sz w:val="28"/>
          <w:szCs w:val="28"/>
        </w:rPr>
        <w:br w:type="textWrapping"/>
      </w:r>
      <w:r>
        <w:rPr>
          <w:rFonts w:hint="eastAsia" w:asciiTheme="minorEastAsia" w:hAnsiTheme="minorEastAsia"/>
          <w:color w:val="4E4E4E"/>
          <w:sz w:val="28"/>
          <w:szCs w:val="28"/>
        </w:rPr>
        <w:t>　　各单位依据《商品现货市场交易特别规定（试行）》，做好商品现货市场的行业管理和风险排查工作，要根据商品现货市场物流、信息等特征，以及为商品流通和实体经济服务等功能，做好商品现货市场甄别，同时要准确把握政策界限，依据工作职责依法依规处理违规企业，督促商品现货市场不得从事违规业务，推动市场加强管理、完善功能、规范发展。</w:t>
      </w:r>
    </w:p>
    <w:p>
      <w:pPr>
        <w:rPr>
          <w:rFonts w:asciiTheme="minorEastAsia" w:hAnsiTheme="minorEastAsia"/>
          <w:color w:val="4E4E4E"/>
          <w:sz w:val="28"/>
          <w:szCs w:val="28"/>
        </w:rPr>
      </w:pPr>
      <w:r>
        <w:rPr>
          <w:rFonts w:hint="eastAsia" w:asciiTheme="minorEastAsia" w:hAnsiTheme="minorEastAsia"/>
          <w:color w:val="4E4E4E"/>
          <w:sz w:val="28"/>
          <w:szCs w:val="28"/>
        </w:rPr>
        <w:t>　　</w:t>
      </w:r>
      <w:r>
        <w:rPr>
          <w:rStyle w:val="14"/>
          <w:rFonts w:hint="eastAsia" w:asciiTheme="minorEastAsia" w:hAnsiTheme="minorEastAsia"/>
          <w:color w:val="4E4E4E"/>
          <w:sz w:val="28"/>
          <w:szCs w:val="28"/>
        </w:rPr>
        <w:t>四、开展春节期间市场商品供应</w:t>
      </w:r>
      <w:r>
        <w:rPr>
          <w:rFonts w:hint="eastAsia" w:asciiTheme="minorEastAsia" w:hAnsiTheme="minorEastAsia"/>
          <w:color w:val="4E4E4E"/>
          <w:sz w:val="28"/>
          <w:szCs w:val="28"/>
        </w:rPr>
        <w:br w:type="textWrapping"/>
      </w:r>
      <w:r>
        <w:rPr>
          <w:rFonts w:hint="eastAsia" w:asciiTheme="minorEastAsia" w:hAnsiTheme="minorEastAsia"/>
          <w:color w:val="4E4E4E"/>
          <w:sz w:val="28"/>
          <w:szCs w:val="28"/>
        </w:rPr>
        <w:t>　　各单位要认真落实市政府“市抓批发、区管零售”要求，做好辖区内零售终端蔬菜、清真牛羊肉等生活必需品供应保障工作。按照构筑生活必需品“日常供应、安全供应、应急供应”三道防线的要求，生活必需品生产、加工、批发和零售等环节保供骨干企业要加强产销对接，积极组织货源，增加市场供应，按照平时7-10天，春节期间10-15天的销售规模适当增加企业经营库存，特别是要做好雨雪、雾霾等极端天气下蔬菜等生鲜必需品的货源组织和运输配送，保障货源供应稳定。</w:t>
      </w:r>
      <w:r>
        <w:rPr>
          <w:rFonts w:hint="eastAsia" w:asciiTheme="minorEastAsia" w:hAnsiTheme="minorEastAsia"/>
          <w:color w:val="4E4E4E"/>
          <w:sz w:val="28"/>
          <w:szCs w:val="28"/>
        </w:rPr>
        <w:br w:type="textWrapping"/>
      </w:r>
      <w:r>
        <w:rPr>
          <w:rFonts w:hint="eastAsia" w:asciiTheme="minorEastAsia" w:hAnsiTheme="minorEastAsia"/>
          <w:color w:val="4E4E4E"/>
          <w:sz w:val="28"/>
          <w:szCs w:val="28"/>
        </w:rPr>
        <w:t>　　请各单位按照有关规定、制度或工作机制要求，加强组织领导，明确责任分工，周密安排，迅速部署，抓紧开展各项工作，有效消除风险隐患，确保春节、“两会”期间商贸流通领域安全稳定。</w:t>
      </w:r>
    </w:p>
    <w:p>
      <w:pPr>
        <w:ind w:firstLine="555"/>
        <w:rPr>
          <w:rFonts w:asciiTheme="minorEastAsia" w:hAnsiTheme="minorEastAsia"/>
          <w:color w:val="4E4E4E"/>
          <w:sz w:val="28"/>
          <w:szCs w:val="28"/>
        </w:rPr>
      </w:pPr>
      <w:r>
        <w:rPr>
          <w:rStyle w:val="14"/>
          <w:rFonts w:hint="eastAsia" w:asciiTheme="minorEastAsia" w:hAnsiTheme="minorEastAsia"/>
          <w:color w:val="4E4E4E"/>
          <w:sz w:val="28"/>
          <w:szCs w:val="28"/>
        </w:rPr>
        <w:t>联系人</w:t>
      </w:r>
      <w:r>
        <w:rPr>
          <w:rFonts w:hint="eastAsia" w:asciiTheme="minorEastAsia" w:hAnsiTheme="minorEastAsia"/>
          <w:color w:val="4E4E4E"/>
          <w:sz w:val="28"/>
          <w:szCs w:val="28"/>
        </w:rPr>
        <w:t>：流通秩序处 刘伟</w:t>
      </w:r>
      <w:r>
        <w:rPr>
          <w:rFonts w:hint="eastAsia" w:asciiTheme="minorEastAsia" w:hAnsiTheme="minorEastAsia"/>
          <w:color w:val="4E4E4E"/>
          <w:sz w:val="28"/>
          <w:szCs w:val="28"/>
        </w:rPr>
        <w:br w:type="textWrapping"/>
      </w:r>
      <w:r>
        <w:rPr>
          <w:rFonts w:hint="eastAsia" w:asciiTheme="minorEastAsia" w:hAnsiTheme="minorEastAsia"/>
          <w:color w:val="4E4E4E"/>
          <w:sz w:val="28"/>
          <w:szCs w:val="28"/>
        </w:rPr>
        <w:t>　　</w:t>
      </w:r>
      <w:r>
        <w:rPr>
          <w:rStyle w:val="14"/>
          <w:rFonts w:hint="eastAsia" w:asciiTheme="minorEastAsia" w:hAnsiTheme="minorEastAsia"/>
          <w:color w:val="4E4E4E"/>
          <w:sz w:val="28"/>
          <w:szCs w:val="28"/>
        </w:rPr>
        <w:t>联系电话</w:t>
      </w:r>
      <w:r>
        <w:rPr>
          <w:rFonts w:hint="eastAsia" w:asciiTheme="minorEastAsia" w:hAnsiTheme="minorEastAsia"/>
          <w:color w:val="4E4E4E"/>
          <w:sz w:val="28"/>
          <w:szCs w:val="28"/>
        </w:rPr>
        <w:t>：87211657</w:t>
      </w:r>
    </w:p>
    <w:p>
      <w:pPr>
        <w:ind w:firstLine="555"/>
        <w:rPr>
          <w:rFonts w:asciiTheme="minorEastAsia" w:hAnsiTheme="minorEastAsia"/>
          <w:color w:val="4E4E4E"/>
          <w:sz w:val="28"/>
          <w:szCs w:val="28"/>
        </w:rPr>
      </w:pPr>
    </w:p>
    <w:p>
      <w:pPr>
        <w:ind w:firstLine="555"/>
        <w:rPr>
          <w:rFonts w:asciiTheme="minorEastAsia" w:hAnsiTheme="minorEastAsia"/>
          <w:color w:val="4E4E4E"/>
          <w:sz w:val="28"/>
          <w:szCs w:val="28"/>
        </w:rPr>
      </w:pPr>
    </w:p>
    <w:p>
      <w:pPr>
        <w:rPr>
          <w:b/>
        </w:rPr>
      </w:pPr>
      <w:r>
        <w:rPr>
          <w:rFonts w:hint="eastAsia"/>
          <w:b/>
        </w:rPr>
        <w:t>转自：北京市商务委员会</w:t>
      </w:r>
    </w:p>
    <w:p>
      <w:pPr>
        <w:pStyle w:val="3"/>
        <w:jc w:val="center"/>
        <w:rPr>
          <w:rFonts w:asciiTheme="minorEastAsia" w:hAnsiTheme="minorEastAsia"/>
        </w:rPr>
      </w:pPr>
      <w:bookmarkStart w:id="113" w:name="_Toc446326763"/>
      <w:bookmarkStart w:id="114" w:name="_Toc446330735"/>
      <w:bookmarkStart w:id="115" w:name="_Toc446324693"/>
      <w:bookmarkStart w:id="116" w:name="_Toc446330632"/>
      <w:bookmarkStart w:id="117" w:name="_Toc446322490"/>
      <w:r>
        <w:t>北京市国家税务局 北京市地方税务局关于实行办税人员实名办税的公告</w:t>
      </w:r>
      <w:bookmarkEnd w:id="113"/>
      <w:bookmarkEnd w:id="114"/>
      <w:bookmarkEnd w:id="115"/>
      <w:bookmarkEnd w:id="116"/>
      <w:bookmarkEnd w:id="117"/>
    </w:p>
    <w:p>
      <w:pPr/>
    </w:p>
    <w:p>
      <w:pPr>
        <w:jc w:val="center"/>
        <w:rPr>
          <w:rFonts w:asciiTheme="minorEastAsia" w:hAnsiTheme="minorEastAsia"/>
          <w:color w:val="3E3E3E"/>
          <w:sz w:val="28"/>
          <w:szCs w:val="28"/>
        </w:rPr>
      </w:pPr>
      <w:r>
        <w:rPr>
          <w:rFonts w:hint="eastAsia" w:asciiTheme="minorEastAsia" w:hAnsiTheme="minorEastAsia"/>
          <w:sz w:val="28"/>
          <w:szCs w:val="28"/>
        </w:rPr>
        <w:t>(2016年第2号)</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为提升纳税服务质效，保护纳税人合法权益，降低纳税人及其办税人员在办税过程中的涉税风险，加快社会征信体系建设，根据《中华人民共和国税收征收管理法》及其实施细则，北京市国家税务局、北京市地方税务局决定实行办税人员实名办税，现就有关事项公告如下。</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一、办税人员实名办税的含义</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办税人员实名办税是指税务机关在办税人员身份明确的情况下受理纳税人涉税事项。</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办税人员是指纳税人的法定代表人（负责人、业主）、财务负责人、办税员、税务代理人和经法定代表人（负责人、业主）授权的其他人员。</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二、身份信息采集内容</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税务机关采集办税人员身份信息包括：姓名、身份证件信息、电话号码、人像信息以及税务代理合同（协议）或授权方的办税授权委托书等相关资料的信息。</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本公告所称身份证件是指在有效期内的居民身份证、临时居民身份证；中国人民解放军军人身份证件、中国人民武装警察身份证件；港澳居民来往内地通行证、台湾居民来往大陆通行证；外国公民护照。</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三、身份信息采集方式</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办税人员首次办理涉税事项时，需要根据不同情况向税务机关提供以下证件和资料，以便税务机关采集身份信息。</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（一）办税人员是法定代表人（负责人、业主）的，需出示本人身份证件原件；</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（二）办税人员是财务负责人、办税员或被法定代表人（负责人、业主）授权的其他人员的，需出示本人身份证件原件、税务代理合同（协议）原件或授权方的办税授权委托书原件。</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办税人员可以到任一实体办税服务厅办理身份信息采集，也可以通过网上办税服务厅办理身份信息采集。</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采集过身份信息的办税人员再次办理涉税事项时，应携带身份证件。</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四、具体办税流程</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（一）北京市国家税务局或北京市地方税务局实体办税服务厅受理涉税事项申请时，首先对办税人员身份信息进行采集和比对。办税人员身份信息通过比对的，继续办理业务；未通过的，先采集其身份信息。</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（二）北京市国家税务局或北京市地方税务局网上办税服务厅增加手机验证环节，税务机关随机向纳税人发送验证信息，办税人员接收验证信息后，需要进行验证，验证通过的，继续办理业务。</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五、过渡期</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2016年3月1日至2016年7月31日为过渡期。过渡期内未携带身份采集所需证件和资料的办税人员办理涉税事项的，税务机关仅受理办税人员当日办理事项，之后办税人员需及时进行身份信息采集。</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2016年8月1日起，税务机关仅受理已采集身份信息的办税人员申请的涉税事项。</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六、其他事项</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税务机关在采集、比对办税人员的身份信息时，办税人员需提供有效证件和真实身份信息，并予以配合。</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办税人员发生变化或办税人员的电话号码等信息发生变更的，需及时办理变更手续。授权或代理行为到期或终止的，纳税人需及时办理办税人员维护。</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北京市国家税务局和北京市地方税务局各级税务机关依法采集、使用和管理办税人员的身份信息，并承担信息保密义务。</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本公告自2016年3月1日起施行。</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特此公告。</w:t>
      </w:r>
    </w:p>
    <w:p>
      <w:pPr>
        <w:spacing w:line="500" w:lineRule="exact"/>
        <w:jc w:val="right"/>
        <w:rPr>
          <w:rFonts w:asciiTheme="minorEastAsia" w:hAnsiTheme="minorEastAsia"/>
          <w:color w:val="3E3E3E"/>
          <w:sz w:val="28"/>
          <w:szCs w:val="28"/>
        </w:rPr>
      </w:pPr>
      <w:r>
        <w:rPr>
          <w:rFonts w:asciiTheme="minorEastAsia" w:hAnsiTheme="minorEastAsia"/>
          <w:color w:val="3E3E3E"/>
          <w:sz w:val="28"/>
          <w:szCs w:val="28"/>
        </w:rPr>
        <w:t>　　北京市国家税务局         北京市地方税务局</w:t>
      </w:r>
    </w:p>
    <w:p>
      <w:pPr>
        <w:spacing w:line="500" w:lineRule="exact"/>
        <w:jc w:val="right"/>
        <w:rPr>
          <w:rFonts w:asciiTheme="minorEastAsia" w:hAnsiTheme="minorEastAsia"/>
          <w:color w:val="3E3E3E"/>
          <w:sz w:val="28"/>
          <w:szCs w:val="28"/>
        </w:rPr>
      </w:pPr>
      <w:r>
        <w:rPr>
          <w:rFonts w:asciiTheme="minorEastAsia" w:hAnsiTheme="minorEastAsia"/>
          <w:color w:val="3E3E3E"/>
          <w:sz w:val="28"/>
          <w:szCs w:val="28"/>
        </w:rPr>
        <w:t>　　2016年1月14日</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w:t>
      </w:r>
    </w:p>
    <w:p>
      <w:pPr>
        <w:spacing w:line="500" w:lineRule="exact"/>
        <w:jc w:val="center"/>
        <w:rPr>
          <w:rFonts w:asciiTheme="minorEastAsia" w:hAnsiTheme="minorEastAsia"/>
          <w:color w:val="3E3E3E"/>
          <w:sz w:val="28"/>
          <w:szCs w:val="28"/>
        </w:rPr>
      </w:pPr>
      <w:r>
        <w:rPr>
          <w:rStyle w:val="14"/>
          <w:rFonts w:asciiTheme="minorEastAsia" w:hAnsiTheme="minorEastAsia"/>
          <w:color w:val="3E3E3E"/>
          <w:sz w:val="28"/>
          <w:szCs w:val="28"/>
        </w:rPr>
        <w:t>政 策 解 读</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一、公告背景</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切实转变税收征收管理工作理念，充分认识简政放权、放管结合的精神实质和内在联系，创新管理手段，在减轻纳税人负担，方便纳税人办事的同时，加强事后管理，推进社会征信体系建设。</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二、制定目的</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进一步厘清征纳双方责任，维护纳税人的合法权益，坚决打击涉税违法犯罪，确保简政放权成果落到诚实守信的纳税人和办税人员身上。让守法者尽享优质服务，让违法者无处遁形。</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三、适用范围</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纳税人的办税人员在北京市行政区域内各税务机关办理涉税事项，以及纳税人的办税人员使用北京市国家税务局或北京市地方税务局网上办税服务时，适用办税人员实名办税。</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四、信息共享</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为减轻办税负担，北京市国家税务局、北京市地方税务局将通过信息共享的方式，交换办税人员身份信息。办税人员可以在北京市国家税务局、北京市地方税务局任何一方进行身份信息采集，已领取数字证书的纳税人，其办税人员也可以通过网上办税服务厅进行身份信息采集。办税人员可以根据自身情况，就近、就便选择采集方式。</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五、业务范围</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原则上，纳税人全部涉税事项均实行办税人员实名办税。北京市国家税务局、北京市地方税务局将按照采集程序最简的原则，结合信息化建设进度逐步实行。</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六、办税人员变更</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纳税人的办税人员发生变更后，或者委托、授权到期后，应及时到税务机关办理办税人员的变更、删除，确保在税务机关登记的办税人员信息准确无误。</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w:t>
      </w:r>
      <w:r>
        <w:rPr>
          <w:rStyle w:val="14"/>
          <w:rFonts w:asciiTheme="minorEastAsia" w:hAnsiTheme="minorEastAsia"/>
          <w:color w:val="3E3E3E"/>
          <w:sz w:val="28"/>
          <w:szCs w:val="28"/>
        </w:rPr>
        <w:t>热点问答</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问：什么是办税人员实名办税？</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答：办税人员实名办税是指税务机关在办税人员身份明确的情况下受理纳税人涉税事项。其中，办税人员是指纳税人的法定代表人（负责人、业主）、财务负责人、办税员、税务代理人和经法定代表人（负责人、业主）授权的其他人员。</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问：为什么要实行办税人员实名办税？</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答：办税人员实名办税的推行将进一步厘清征纳双方责任，有助于降低纳税人及办税人员在办税过程中涉及的税务风险，保障纳税人合法权益，打击涉税违法犯罪，让守法者尽享优质服务，让违法者无处遁形。</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问：在办理哪些业务时实行办税人员实名办税？</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答：纳税人的办税人员在北京市行政区域内各办税服务厅办理涉税事项，以及纳税人的办税人员使用北京市国家税务局或北京市地方税务局网上办税服务时，适用办税人员实名办税。</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问：办税人员实名办税何时开始推行？</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答：2016年3月1日至2016年7月31日为过渡期。过渡期内未携带身份采集所需证件和资料的办税人员办理涉税事项的，税务机关仅受理办税人员当日办理事项，之后办税人员需及时进行身份信息采集。</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2016年8月1日起，税务机关仅受理已采集身份信息的办税人员申请的涉税事项。</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问：办税人员对于实名办税的具体感受是什么？</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答：简单地说，纳税人的法定代表人、财务负责人、办税员前往办税服务厅办理业务，需要携带本人身份证件原件，上述人员以外的办税人员前往办税服务厅办理业务，需要携带本人身份证件原件和税务代理合同（协议）原件或授权方的办税授权委托书原件。</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实际上，目前办税人员在办理一些业务时，按照相关税收法律、法规，已经要求其出示“经办人”身份证件，所以此次实行实名办税对于多数办税人员办理多数业务，是没有办税体验上的变化的。</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对于纳税人的法定代表人、财务负责人、办税员以外的其他办税人员，在首次前往北京国税局实体办税服务厅办理涉税事项前，应首先进行网上采集，按要求填写身份信息并上传身份证件和税务代理合同（协议）原件或授权方的办税授权委托书的照片。</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若纳税人使用北京市国家税务局或北京市地方税务局网上办税服务厅增加手机验证环节，税务机关随机向纳税人发送验证信息，办税人员接收验证信息后，需要进行验证，验证通过的，继续办理业务。</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问：如何维护纳税人的办税人员？</w:t>
      </w:r>
    </w:p>
    <w:p>
      <w:pPr>
        <w:spacing w:line="500" w:lineRule="exact"/>
        <w:rPr>
          <w:rFonts w:asciiTheme="minorEastAsia" w:hAnsiTheme="minorEastAsia"/>
          <w:color w:val="3E3E3E"/>
          <w:sz w:val="28"/>
          <w:szCs w:val="28"/>
        </w:rPr>
      </w:pPr>
      <w:r>
        <w:rPr>
          <w:rFonts w:asciiTheme="minorEastAsia" w:hAnsiTheme="minorEastAsia"/>
          <w:color w:val="3E3E3E"/>
          <w:sz w:val="28"/>
          <w:szCs w:val="28"/>
        </w:rPr>
        <w:t>　　答：纳税人可以通过网上实名办税模块确认、增加、删除和修改办税人员信息。其中，法定代表人、财务负责人、办税员的信息修改后，纳税人还应按照税收法律、法规规定变更税务登记。</w:t>
      </w:r>
    </w:p>
    <w:p>
      <w:pPr>
        <w:spacing w:line="500" w:lineRule="exact"/>
        <w:ind w:firstLine="570"/>
        <w:rPr>
          <w:rFonts w:asciiTheme="minorEastAsia" w:hAnsiTheme="minorEastAsia"/>
          <w:color w:val="3E3E3E"/>
          <w:sz w:val="28"/>
          <w:szCs w:val="28"/>
        </w:rPr>
      </w:pPr>
      <w:r>
        <w:rPr>
          <w:rFonts w:asciiTheme="minorEastAsia" w:hAnsiTheme="minorEastAsia"/>
          <w:color w:val="3E3E3E"/>
          <w:sz w:val="28"/>
          <w:szCs w:val="28"/>
        </w:rPr>
        <w:t>纳税人的办税人员发生变更后，或者委托、授权到期后，应及维护，确保纳税人的办税人员信息准确无误。</w:t>
      </w:r>
    </w:p>
    <w:p>
      <w:pPr>
        <w:spacing w:line="500" w:lineRule="exact"/>
        <w:ind w:firstLine="570"/>
        <w:rPr>
          <w:rFonts w:asciiTheme="minorEastAsia" w:hAnsiTheme="minorEastAsia"/>
          <w:color w:val="3E3E3E"/>
          <w:sz w:val="28"/>
          <w:szCs w:val="28"/>
        </w:rPr>
      </w:pPr>
    </w:p>
    <w:p>
      <w:pPr>
        <w:rPr>
          <w:b/>
        </w:rPr>
      </w:pPr>
      <w:r>
        <w:rPr>
          <w:b/>
        </w:rPr>
        <w:t>转自：国家税务总局</w:t>
      </w:r>
    </w:p>
    <w:p>
      <w:pPr>
        <w:pStyle w:val="3"/>
        <w:jc w:val="center"/>
        <w:rPr>
          <w:rFonts w:asciiTheme="minorEastAsia" w:hAnsiTheme="minorEastAsia"/>
          <w:sz w:val="24"/>
          <w:szCs w:val="24"/>
        </w:rPr>
      </w:pPr>
      <w:bookmarkStart w:id="118" w:name="_Toc446326764"/>
      <w:bookmarkStart w:id="119" w:name="_Toc446330633"/>
      <w:bookmarkStart w:id="120" w:name="_Toc446330736"/>
      <w:bookmarkStart w:id="121" w:name="_Toc446324694"/>
      <w:bookmarkStart w:id="122" w:name="_Toc446322491"/>
      <w:r>
        <w:rPr>
          <w:rFonts w:hint="eastAsia" w:asciiTheme="minorEastAsia" w:hAnsiTheme="minorEastAsia" w:eastAsiaTheme="minorEastAsia"/>
        </w:rPr>
        <w:t>北京市文化创意产业发展专项资金项目奖励实施细则（试行）</w:t>
      </w:r>
      <w:bookmarkEnd w:id="118"/>
      <w:bookmarkEnd w:id="119"/>
      <w:bookmarkEnd w:id="120"/>
      <w:bookmarkEnd w:id="121"/>
      <w:bookmarkEnd w:id="122"/>
    </w:p>
    <w:p>
      <w:pPr>
        <w:jc w:val="center"/>
        <w:rPr>
          <w:rFonts w:ascii="宋体" w:eastAsia="宋体"/>
          <w:kern w:val="0"/>
          <w:sz w:val="28"/>
          <w:szCs w:val="28"/>
        </w:rPr>
      </w:pPr>
      <w:r>
        <w:rPr>
          <w:rFonts w:hint="eastAsia"/>
          <w:kern w:val="0"/>
          <w:sz w:val="28"/>
          <w:szCs w:val="28"/>
        </w:rPr>
        <w:t>(京文资发〔2016〕3号，北京市国有文化资产监督管理办公室 2016年1月29日发布)</w:t>
      </w:r>
    </w:p>
    <w:p>
      <w:pPr>
        <w:widowControl/>
        <w:shd w:val="clear" w:color="auto" w:fill="FFFFFF"/>
        <w:spacing w:line="420" w:lineRule="atLeast"/>
        <w:jc w:val="center"/>
        <w:rPr>
          <w:rFonts w:ascii="宋体" w:hAnsi="宋体" w:eastAsia="宋体" w:cs="宋体"/>
          <w:color w:val="3E3E3E"/>
          <w:kern w:val="0"/>
          <w:szCs w:val="21"/>
        </w:rPr>
      </w:pPr>
      <w:r>
        <w:rPr>
          <w:rFonts w:hint="eastAsia" w:ascii="宋体" w:hAnsi="宋体" w:eastAsia="宋体" w:cs="宋体"/>
          <w:color w:val="3E3E3E"/>
          <w:kern w:val="0"/>
          <w:sz w:val="24"/>
          <w:szCs w:val="24"/>
        </w:rPr>
        <w:t> </w:t>
      </w:r>
    </w:p>
    <w:p>
      <w:pPr>
        <w:widowControl/>
        <w:shd w:val="clear" w:color="auto" w:fill="FFFFFF"/>
        <w:spacing w:line="420" w:lineRule="exact"/>
        <w:jc w:val="left"/>
        <w:rPr>
          <w:rFonts w:ascii="宋体" w:hAnsi="宋体" w:eastAsia="宋体" w:cs="宋体"/>
          <w:color w:val="3E3E3E"/>
          <w:kern w:val="0"/>
          <w:szCs w:val="21"/>
        </w:rPr>
      </w:pPr>
      <w:r>
        <w:rPr>
          <w:rFonts w:hint="eastAsia" w:ascii="宋体" w:hAnsi="宋体" w:eastAsia="宋体" w:cs="宋体"/>
          <w:color w:val="3E3E3E"/>
          <w:kern w:val="0"/>
          <w:sz w:val="24"/>
          <w:szCs w:val="24"/>
        </w:rPr>
        <w:t>    </w:t>
      </w:r>
      <w:r>
        <w:rPr>
          <w:rFonts w:hint="eastAsia" w:ascii="宋体" w:hAnsi="宋体" w:eastAsia="宋体" w:cs="宋体"/>
          <w:b/>
          <w:bCs/>
          <w:color w:val="3E3E3E"/>
          <w:kern w:val="0"/>
          <w:sz w:val="24"/>
          <w:szCs w:val="24"/>
        </w:rPr>
        <w:t>第一条</w:t>
      </w:r>
      <w:r>
        <w:rPr>
          <w:rFonts w:hint="eastAsia" w:ascii="宋体" w:hAnsi="宋体" w:eastAsia="宋体" w:cs="宋体"/>
          <w:color w:val="3E3E3E"/>
          <w:kern w:val="0"/>
          <w:sz w:val="24"/>
          <w:szCs w:val="24"/>
        </w:rPr>
        <w:t> 为规范北京市文化创意产业发展专项资金管理，根据《北京市文化创意产业发展专项资金企业项目征集评审管理办法（试行）》（京文资发〔2016〕1号），制定本实施细则。</w:t>
      </w:r>
    </w:p>
    <w:p>
      <w:pPr>
        <w:widowControl/>
        <w:shd w:val="clear" w:color="auto" w:fill="FFFFFF"/>
        <w:spacing w:line="420" w:lineRule="exact"/>
        <w:jc w:val="left"/>
        <w:rPr>
          <w:rFonts w:ascii="宋体" w:hAnsi="宋体" w:eastAsia="宋体" w:cs="宋体"/>
          <w:color w:val="3E3E3E"/>
          <w:kern w:val="0"/>
          <w:szCs w:val="21"/>
        </w:rPr>
      </w:pPr>
      <w:r>
        <w:rPr>
          <w:rFonts w:hint="eastAsia" w:ascii="宋体" w:hAnsi="宋体" w:eastAsia="宋体" w:cs="宋体"/>
          <w:color w:val="3E3E3E"/>
          <w:kern w:val="0"/>
          <w:sz w:val="24"/>
          <w:szCs w:val="24"/>
        </w:rPr>
        <w:t>    </w:t>
      </w:r>
      <w:r>
        <w:rPr>
          <w:rFonts w:hint="eastAsia" w:ascii="宋体" w:hAnsi="宋体" w:eastAsia="宋体" w:cs="宋体"/>
          <w:b/>
          <w:bCs/>
          <w:color w:val="3E3E3E"/>
          <w:kern w:val="0"/>
          <w:sz w:val="24"/>
          <w:szCs w:val="24"/>
        </w:rPr>
        <w:t>第二条</w:t>
      </w:r>
      <w:r>
        <w:rPr>
          <w:rFonts w:hint="eastAsia" w:ascii="宋体" w:hAnsi="宋体" w:eastAsia="宋体" w:cs="宋体"/>
          <w:color w:val="3E3E3E"/>
          <w:kern w:val="0"/>
          <w:sz w:val="24"/>
          <w:szCs w:val="24"/>
        </w:rPr>
        <w:t> 项目奖励是指对已完成并取得良好社会效益和经济效益的文化创意产业项目进行资金奖励。</w:t>
      </w:r>
    </w:p>
    <w:p>
      <w:pPr>
        <w:widowControl/>
        <w:shd w:val="clear" w:color="auto" w:fill="FFFFFF"/>
        <w:spacing w:line="420" w:lineRule="exact"/>
        <w:jc w:val="left"/>
        <w:rPr>
          <w:rFonts w:ascii="宋体" w:hAnsi="宋体" w:eastAsia="宋体" w:cs="宋体"/>
          <w:color w:val="3E3E3E"/>
          <w:kern w:val="0"/>
          <w:szCs w:val="21"/>
        </w:rPr>
      </w:pPr>
      <w:r>
        <w:rPr>
          <w:rFonts w:hint="eastAsia" w:ascii="宋体" w:hAnsi="宋体" w:eastAsia="宋体" w:cs="宋体"/>
          <w:color w:val="3E3E3E"/>
          <w:kern w:val="0"/>
          <w:sz w:val="24"/>
          <w:szCs w:val="24"/>
        </w:rPr>
        <w:t>    </w:t>
      </w:r>
      <w:r>
        <w:rPr>
          <w:rFonts w:hint="eastAsia" w:ascii="宋体" w:hAnsi="宋体" w:eastAsia="宋体" w:cs="宋体"/>
          <w:b/>
          <w:bCs/>
          <w:color w:val="3E3E3E"/>
          <w:kern w:val="0"/>
          <w:sz w:val="24"/>
          <w:szCs w:val="24"/>
        </w:rPr>
        <w:t>第三条</w:t>
      </w:r>
      <w:r>
        <w:rPr>
          <w:rFonts w:hint="eastAsia" w:ascii="宋体" w:hAnsi="宋体" w:eastAsia="宋体" w:cs="宋体"/>
          <w:color w:val="3E3E3E"/>
          <w:kern w:val="0"/>
          <w:sz w:val="24"/>
          <w:szCs w:val="24"/>
        </w:rPr>
        <w:t> 申报项目应在申报时已全部完工，在开发新型文化资源、培育文化品牌、扩大文化市场规模、推动文化创新、创意产业园区升级发展和促进文化“走出去”等方面具有带动性与示范性。</w:t>
      </w:r>
    </w:p>
    <w:p>
      <w:pPr>
        <w:widowControl/>
        <w:shd w:val="clear" w:color="auto" w:fill="FFFFFF"/>
        <w:spacing w:line="420" w:lineRule="exact"/>
        <w:jc w:val="left"/>
        <w:rPr>
          <w:rFonts w:ascii="宋体" w:hAnsi="宋体" w:eastAsia="宋体" w:cs="宋体"/>
          <w:color w:val="3E3E3E"/>
          <w:kern w:val="0"/>
          <w:szCs w:val="21"/>
        </w:rPr>
      </w:pPr>
      <w:r>
        <w:rPr>
          <w:rFonts w:hint="eastAsia" w:ascii="宋体" w:hAnsi="宋体" w:eastAsia="宋体" w:cs="宋体"/>
          <w:color w:val="3E3E3E"/>
          <w:kern w:val="0"/>
          <w:sz w:val="24"/>
          <w:szCs w:val="24"/>
        </w:rPr>
        <w:t>    </w:t>
      </w:r>
      <w:r>
        <w:rPr>
          <w:rFonts w:hint="eastAsia" w:ascii="宋体" w:hAnsi="宋体" w:eastAsia="宋体" w:cs="宋体"/>
          <w:b/>
          <w:bCs/>
          <w:color w:val="3E3E3E"/>
          <w:kern w:val="0"/>
          <w:sz w:val="24"/>
          <w:szCs w:val="24"/>
        </w:rPr>
        <w:t>第四条</w:t>
      </w:r>
      <w:r>
        <w:rPr>
          <w:rFonts w:hint="eastAsia" w:ascii="宋体" w:hAnsi="宋体" w:eastAsia="宋体" w:cs="宋体"/>
          <w:color w:val="3E3E3E"/>
          <w:kern w:val="0"/>
          <w:sz w:val="24"/>
          <w:szCs w:val="24"/>
        </w:rPr>
        <w:t> 申请项目奖励支持的，原则上应满足以下条件：</w:t>
      </w:r>
    </w:p>
    <w:p>
      <w:pPr>
        <w:widowControl/>
        <w:shd w:val="clear" w:color="auto" w:fill="FFFFFF"/>
        <w:spacing w:line="420" w:lineRule="exact"/>
        <w:jc w:val="left"/>
        <w:rPr>
          <w:rFonts w:ascii="宋体" w:hAnsi="宋体" w:eastAsia="宋体" w:cs="宋体"/>
          <w:color w:val="3E3E3E"/>
          <w:kern w:val="0"/>
          <w:szCs w:val="21"/>
        </w:rPr>
      </w:pPr>
      <w:r>
        <w:rPr>
          <w:rFonts w:hint="eastAsia" w:ascii="宋体" w:hAnsi="宋体" w:eastAsia="宋体" w:cs="宋体"/>
          <w:color w:val="3E3E3E"/>
          <w:kern w:val="0"/>
          <w:sz w:val="24"/>
          <w:szCs w:val="24"/>
        </w:rPr>
        <w:t>       </w:t>
      </w:r>
      <w:r>
        <w:rPr>
          <w:rFonts w:hint="eastAsia" w:ascii="宋体" w:hAnsi="宋体" w:eastAsia="宋体" w:cs="宋体"/>
          <w:b/>
          <w:bCs/>
          <w:color w:val="3E3E3E"/>
          <w:kern w:val="0"/>
          <w:sz w:val="24"/>
          <w:szCs w:val="24"/>
        </w:rPr>
        <w:t>（一）</w:t>
      </w:r>
      <w:r>
        <w:rPr>
          <w:rFonts w:hint="eastAsia" w:ascii="宋体" w:hAnsi="宋体" w:eastAsia="宋体" w:cs="宋体"/>
          <w:color w:val="3E3E3E"/>
          <w:kern w:val="0"/>
          <w:sz w:val="24"/>
          <w:szCs w:val="24"/>
        </w:rPr>
        <w:t>申报项目总投资高于1000万元的，申报单位上一年度纳税额不低于50万元；</w:t>
      </w:r>
    </w:p>
    <w:p>
      <w:pPr>
        <w:widowControl/>
        <w:shd w:val="clear" w:color="auto" w:fill="FFFFFF"/>
        <w:spacing w:line="420" w:lineRule="exact"/>
        <w:jc w:val="left"/>
        <w:rPr>
          <w:rFonts w:ascii="宋体" w:hAnsi="宋体" w:eastAsia="宋体" w:cs="宋体"/>
          <w:color w:val="3E3E3E"/>
          <w:kern w:val="0"/>
          <w:szCs w:val="21"/>
        </w:rPr>
      </w:pPr>
      <w:r>
        <w:rPr>
          <w:rFonts w:hint="eastAsia" w:ascii="宋体" w:hAnsi="宋体" w:eastAsia="宋体" w:cs="宋体"/>
          <w:color w:val="3E3E3E"/>
          <w:kern w:val="0"/>
          <w:sz w:val="24"/>
          <w:szCs w:val="24"/>
        </w:rPr>
        <w:t>       </w:t>
      </w:r>
      <w:r>
        <w:rPr>
          <w:rFonts w:hint="eastAsia" w:ascii="宋体" w:hAnsi="宋体" w:eastAsia="宋体" w:cs="宋体"/>
          <w:b/>
          <w:bCs/>
          <w:color w:val="3E3E3E"/>
          <w:kern w:val="0"/>
          <w:sz w:val="24"/>
          <w:szCs w:val="24"/>
        </w:rPr>
        <w:t>（二）</w:t>
      </w:r>
      <w:r>
        <w:rPr>
          <w:rFonts w:hint="eastAsia" w:ascii="宋体" w:hAnsi="宋体" w:eastAsia="宋体" w:cs="宋体"/>
          <w:color w:val="3E3E3E"/>
          <w:kern w:val="0"/>
          <w:sz w:val="24"/>
          <w:szCs w:val="24"/>
        </w:rPr>
        <w:t>申报项目总投资不高于1000万元的，申报单位应符合国家有关中小企业标准。（注：文化创意类中小企业的一般标准为员工人数在300人以下或最近一年企业营业额在1亿元以下的企业）。 </w:t>
      </w:r>
    </w:p>
    <w:p>
      <w:pPr>
        <w:widowControl/>
        <w:shd w:val="clear" w:color="auto" w:fill="FFFFFF"/>
        <w:spacing w:line="420" w:lineRule="exact"/>
        <w:jc w:val="left"/>
        <w:rPr>
          <w:rFonts w:ascii="宋体" w:hAnsi="宋体" w:eastAsia="宋体" w:cs="宋体"/>
          <w:color w:val="3E3E3E"/>
          <w:kern w:val="0"/>
          <w:szCs w:val="21"/>
        </w:rPr>
      </w:pPr>
      <w:r>
        <w:rPr>
          <w:rFonts w:hint="eastAsia" w:ascii="宋体" w:hAnsi="宋体" w:eastAsia="宋体" w:cs="宋体"/>
          <w:b/>
          <w:bCs/>
          <w:color w:val="3E3E3E"/>
          <w:kern w:val="0"/>
          <w:sz w:val="24"/>
          <w:szCs w:val="24"/>
        </w:rPr>
        <w:t>    第五条</w:t>
      </w:r>
      <w:r>
        <w:rPr>
          <w:rFonts w:hint="eastAsia" w:ascii="宋体" w:hAnsi="宋体" w:eastAsia="宋体" w:cs="宋体"/>
          <w:color w:val="3E3E3E"/>
          <w:kern w:val="0"/>
          <w:sz w:val="24"/>
          <w:szCs w:val="24"/>
        </w:rPr>
        <w:t>  项目单位在通过初审后，需在规定期限内提交详细资料（每年可根据情况调整）至各区受理单位，包括：</w:t>
      </w:r>
    </w:p>
    <w:p>
      <w:pPr>
        <w:widowControl/>
        <w:shd w:val="clear" w:color="auto" w:fill="FFFFFF"/>
        <w:spacing w:line="420" w:lineRule="exact"/>
        <w:jc w:val="left"/>
        <w:rPr>
          <w:rFonts w:ascii="宋体" w:hAnsi="宋体" w:eastAsia="宋体" w:cs="宋体"/>
          <w:color w:val="3E3E3E"/>
          <w:kern w:val="0"/>
          <w:szCs w:val="21"/>
        </w:rPr>
      </w:pPr>
      <w:r>
        <w:rPr>
          <w:rFonts w:hint="eastAsia" w:ascii="宋体" w:hAnsi="宋体" w:eastAsia="宋体" w:cs="宋体"/>
          <w:color w:val="3E3E3E"/>
          <w:kern w:val="0"/>
          <w:sz w:val="24"/>
          <w:szCs w:val="24"/>
        </w:rPr>
        <w:t>      </w:t>
      </w:r>
      <w:r>
        <w:rPr>
          <w:rFonts w:hint="eastAsia" w:ascii="宋体" w:hAnsi="宋体" w:eastAsia="宋体" w:cs="宋体"/>
          <w:b/>
          <w:bCs/>
          <w:color w:val="3E3E3E"/>
          <w:kern w:val="0"/>
          <w:sz w:val="24"/>
          <w:szCs w:val="24"/>
        </w:rPr>
        <w:t>（一）</w:t>
      </w:r>
      <w:r>
        <w:rPr>
          <w:rFonts w:hint="eastAsia" w:ascii="宋体" w:hAnsi="宋体" w:eastAsia="宋体" w:cs="宋体"/>
          <w:color w:val="3E3E3E"/>
          <w:kern w:val="0"/>
          <w:sz w:val="24"/>
          <w:szCs w:val="24"/>
        </w:rPr>
        <w:t>企业基本信息表（从申报系统中导出，加盖公章）；</w:t>
      </w:r>
    </w:p>
    <w:p>
      <w:pPr>
        <w:widowControl/>
        <w:shd w:val="clear" w:color="auto" w:fill="FFFFFF"/>
        <w:spacing w:line="420" w:lineRule="exact"/>
        <w:jc w:val="left"/>
        <w:rPr>
          <w:rFonts w:ascii="宋体" w:hAnsi="宋体" w:eastAsia="宋体" w:cs="宋体"/>
          <w:color w:val="3E3E3E"/>
          <w:kern w:val="0"/>
          <w:szCs w:val="21"/>
        </w:rPr>
      </w:pPr>
      <w:r>
        <w:rPr>
          <w:rFonts w:hint="eastAsia" w:ascii="宋体" w:hAnsi="宋体" w:eastAsia="宋体" w:cs="宋体"/>
          <w:color w:val="3E3E3E"/>
          <w:kern w:val="0"/>
          <w:sz w:val="24"/>
          <w:szCs w:val="24"/>
        </w:rPr>
        <w:t>      </w:t>
      </w:r>
      <w:r>
        <w:rPr>
          <w:rFonts w:hint="eastAsia" w:ascii="宋体" w:hAnsi="宋体" w:eastAsia="宋体" w:cs="宋体"/>
          <w:b/>
          <w:bCs/>
          <w:color w:val="3E3E3E"/>
          <w:kern w:val="0"/>
          <w:sz w:val="24"/>
          <w:szCs w:val="24"/>
        </w:rPr>
        <w:t>（二）</w:t>
      </w:r>
      <w:r>
        <w:rPr>
          <w:rFonts w:hint="eastAsia" w:ascii="宋体" w:hAnsi="宋体" w:eastAsia="宋体" w:cs="宋体"/>
          <w:color w:val="3E3E3E"/>
          <w:kern w:val="0"/>
          <w:sz w:val="24"/>
          <w:szCs w:val="24"/>
        </w:rPr>
        <w:t>项目基本情况表（从申报系统中导出，加盖公章）；</w:t>
      </w:r>
    </w:p>
    <w:p>
      <w:pPr>
        <w:widowControl/>
        <w:shd w:val="clear" w:color="auto" w:fill="FFFFFF"/>
        <w:spacing w:line="420" w:lineRule="exact"/>
        <w:jc w:val="left"/>
        <w:rPr>
          <w:rFonts w:ascii="宋体" w:hAnsi="宋体" w:eastAsia="宋体" w:cs="宋体"/>
          <w:color w:val="3E3E3E"/>
          <w:kern w:val="0"/>
          <w:szCs w:val="21"/>
        </w:rPr>
      </w:pPr>
      <w:r>
        <w:rPr>
          <w:rFonts w:hint="eastAsia" w:ascii="宋体" w:hAnsi="宋体" w:eastAsia="宋体" w:cs="宋体"/>
          <w:color w:val="3E3E3E"/>
          <w:kern w:val="0"/>
          <w:sz w:val="24"/>
          <w:szCs w:val="24"/>
        </w:rPr>
        <w:t>      </w:t>
      </w:r>
      <w:r>
        <w:rPr>
          <w:rFonts w:hint="eastAsia" w:ascii="宋体" w:hAnsi="宋体" w:eastAsia="宋体" w:cs="宋体"/>
          <w:b/>
          <w:bCs/>
          <w:color w:val="3E3E3E"/>
          <w:kern w:val="0"/>
          <w:sz w:val="24"/>
          <w:szCs w:val="24"/>
        </w:rPr>
        <w:t>（三）</w:t>
      </w:r>
      <w:r>
        <w:rPr>
          <w:rFonts w:hint="eastAsia" w:ascii="宋体" w:hAnsi="宋体" w:eastAsia="宋体" w:cs="宋体"/>
          <w:color w:val="3E3E3E"/>
          <w:kern w:val="0"/>
          <w:sz w:val="24"/>
          <w:szCs w:val="24"/>
        </w:rPr>
        <w:t>《北京市XX年度文化创意产业发展专项资金企业项目可行性研究报告》（完整版）（加盖公章）；</w:t>
      </w:r>
    </w:p>
    <w:p>
      <w:pPr>
        <w:widowControl/>
        <w:shd w:val="clear" w:color="auto" w:fill="FFFFFF"/>
        <w:spacing w:line="420" w:lineRule="exact"/>
        <w:jc w:val="left"/>
        <w:rPr>
          <w:rFonts w:ascii="宋体" w:hAnsi="宋体" w:eastAsia="宋体" w:cs="宋体"/>
          <w:color w:val="3E3E3E"/>
          <w:kern w:val="0"/>
          <w:szCs w:val="21"/>
        </w:rPr>
      </w:pPr>
      <w:r>
        <w:rPr>
          <w:rFonts w:hint="eastAsia" w:ascii="宋体" w:hAnsi="宋体" w:eastAsia="宋体" w:cs="宋体"/>
          <w:color w:val="3E3E3E"/>
          <w:kern w:val="0"/>
          <w:sz w:val="24"/>
          <w:szCs w:val="24"/>
        </w:rPr>
        <w:t>      </w:t>
      </w:r>
      <w:r>
        <w:rPr>
          <w:rFonts w:hint="eastAsia" w:ascii="宋体" w:hAnsi="宋体" w:eastAsia="宋体" w:cs="宋体"/>
          <w:b/>
          <w:bCs/>
          <w:color w:val="3E3E3E"/>
          <w:kern w:val="0"/>
          <w:sz w:val="24"/>
          <w:szCs w:val="24"/>
        </w:rPr>
        <w:t>（四）</w:t>
      </w:r>
      <w:r>
        <w:rPr>
          <w:rFonts w:hint="eastAsia" w:ascii="宋体" w:hAnsi="宋体" w:eastAsia="宋体" w:cs="宋体"/>
          <w:color w:val="3E3E3E"/>
          <w:kern w:val="0"/>
          <w:sz w:val="24"/>
          <w:szCs w:val="24"/>
        </w:rPr>
        <w:t>项目申报承诺书（从申报系统中导出，加盖公章），联合申报还需提供联合申报协议（从申报系统中导出，加盖公章）；</w:t>
      </w:r>
    </w:p>
    <w:p>
      <w:pPr>
        <w:widowControl/>
        <w:shd w:val="clear" w:color="auto" w:fill="FFFFFF"/>
        <w:spacing w:line="420" w:lineRule="exact"/>
        <w:jc w:val="left"/>
        <w:rPr>
          <w:rFonts w:ascii="宋体" w:hAnsi="宋体" w:eastAsia="宋体" w:cs="宋体"/>
          <w:color w:val="3E3E3E"/>
          <w:kern w:val="0"/>
          <w:szCs w:val="21"/>
        </w:rPr>
      </w:pPr>
      <w:r>
        <w:rPr>
          <w:rFonts w:hint="eastAsia" w:ascii="宋体" w:hAnsi="宋体" w:eastAsia="宋体" w:cs="宋体"/>
          <w:color w:val="3E3E3E"/>
          <w:kern w:val="0"/>
          <w:sz w:val="24"/>
          <w:szCs w:val="24"/>
        </w:rPr>
        <w:t>      </w:t>
      </w:r>
      <w:r>
        <w:rPr>
          <w:rFonts w:hint="eastAsia" w:ascii="宋体" w:hAnsi="宋体" w:eastAsia="宋体" w:cs="宋体"/>
          <w:b/>
          <w:bCs/>
          <w:color w:val="3E3E3E"/>
          <w:kern w:val="0"/>
          <w:sz w:val="24"/>
          <w:szCs w:val="24"/>
        </w:rPr>
        <w:t>（五）</w:t>
      </w:r>
      <w:r>
        <w:rPr>
          <w:rFonts w:hint="eastAsia" w:ascii="宋体" w:hAnsi="宋体" w:eastAsia="宋体" w:cs="宋体"/>
          <w:color w:val="3E3E3E"/>
          <w:kern w:val="0"/>
          <w:sz w:val="24"/>
          <w:szCs w:val="24"/>
        </w:rPr>
        <w:t>其他需提供的有关材料，包括但不限于：</w:t>
      </w:r>
    </w:p>
    <w:p>
      <w:pPr>
        <w:widowControl/>
        <w:shd w:val="clear" w:color="auto" w:fill="FFFFFF"/>
        <w:spacing w:line="420" w:lineRule="exact"/>
        <w:jc w:val="left"/>
        <w:rPr>
          <w:rFonts w:ascii="宋体" w:hAnsi="宋体" w:eastAsia="宋体" w:cs="宋体"/>
          <w:color w:val="3E3E3E"/>
          <w:kern w:val="0"/>
          <w:szCs w:val="21"/>
        </w:rPr>
      </w:pPr>
      <w:r>
        <w:rPr>
          <w:rFonts w:hint="eastAsia" w:ascii="宋体" w:hAnsi="宋体" w:eastAsia="宋体" w:cs="宋体"/>
          <w:color w:val="3E3E3E"/>
          <w:kern w:val="0"/>
          <w:sz w:val="24"/>
          <w:szCs w:val="24"/>
        </w:rPr>
        <w:t>   </w:t>
      </w:r>
      <w:r>
        <w:rPr>
          <w:rFonts w:hint="eastAsia" w:ascii="宋体" w:hAnsi="宋体" w:eastAsia="宋体" w:cs="宋体"/>
          <w:b/>
          <w:bCs/>
          <w:color w:val="3E3E3E"/>
          <w:kern w:val="0"/>
          <w:sz w:val="24"/>
          <w:szCs w:val="24"/>
        </w:rPr>
        <w:t>     1.</w:t>
      </w:r>
      <w:r>
        <w:rPr>
          <w:rFonts w:hint="eastAsia" w:ascii="宋体" w:hAnsi="宋体" w:eastAsia="宋体" w:cs="宋体"/>
          <w:color w:val="3E3E3E"/>
          <w:kern w:val="0"/>
          <w:sz w:val="24"/>
          <w:szCs w:val="24"/>
        </w:rPr>
        <w:t>企业法人营业执照复印件（加盖公章）；</w:t>
      </w:r>
    </w:p>
    <w:p>
      <w:pPr>
        <w:widowControl/>
        <w:shd w:val="clear" w:color="auto" w:fill="FFFFFF"/>
        <w:spacing w:line="420" w:lineRule="exact"/>
        <w:jc w:val="left"/>
        <w:rPr>
          <w:rFonts w:ascii="宋体" w:hAnsi="宋体" w:eastAsia="宋体" w:cs="宋体"/>
          <w:color w:val="3E3E3E"/>
          <w:kern w:val="0"/>
          <w:szCs w:val="21"/>
        </w:rPr>
      </w:pPr>
      <w:r>
        <w:rPr>
          <w:rFonts w:hint="eastAsia" w:ascii="宋体" w:hAnsi="宋体" w:eastAsia="宋体" w:cs="宋体"/>
          <w:color w:val="3E3E3E"/>
          <w:kern w:val="0"/>
          <w:sz w:val="24"/>
          <w:szCs w:val="24"/>
        </w:rPr>
        <w:t>       </w:t>
      </w:r>
      <w:r>
        <w:rPr>
          <w:rFonts w:hint="eastAsia" w:ascii="宋体" w:hAnsi="宋体" w:eastAsia="宋体" w:cs="宋体"/>
          <w:b/>
          <w:bCs/>
          <w:color w:val="3E3E3E"/>
          <w:kern w:val="0"/>
          <w:sz w:val="24"/>
          <w:szCs w:val="24"/>
        </w:rPr>
        <w:t> 2.</w:t>
      </w:r>
      <w:r>
        <w:rPr>
          <w:rFonts w:hint="eastAsia" w:ascii="宋体" w:hAnsi="宋体" w:eastAsia="宋体" w:cs="宋体"/>
          <w:color w:val="3E3E3E"/>
          <w:kern w:val="0"/>
          <w:sz w:val="24"/>
          <w:szCs w:val="24"/>
        </w:rPr>
        <w:t>组织机构代码证复印件（加盖公章）；</w:t>
      </w:r>
    </w:p>
    <w:p>
      <w:pPr>
        <w:widowControl/>
        <w:shd w:val="clear" w:color="auto" w:fill="FFFFFF"/>
        <w:spacing w:line="420" w:lineRule="exact"/>
        <w:jc w:val="left"/>
        <w:rPr>
          <w:rFonts w:ascii="宋体" w:hAnsi="宋体" w:eastAsia="宋体" w:cs="宋体"/>
          <w:color w:val="3E3E3E"/>
          <w:kern w:val="0"/>
          <w:szCs w:val="21"/>
        </w:rPr>
      </w:pPr>
      <w:r>
        <w:rPr>
          <w:rFonts w:hint="eastAsia" w:ascii="宋体" w:hAnsi="宋体" w:eastAsia="宋体" w:cs="宋体"/>
          <w:color w:val="3E3E3E"/>
          <w:kern w:val="0"/>
          <w:sz w:val="24"/>
          <w:szCs w:val="24"/>
        </w:rPr>
        <w:t>        </w:t>
      </w:r>
      <w:r>
        <w:rPr>
          <w:rFonts w:hint="eastAsia" w:ascii="宋体" w:hAnsi="宋体" w:eastAsia="宋体" w:cs="宋体"/>
          <w:b/>
          <w:bCs/>
          <w:color w:val="3E3E3E"/>
          <w:kern w:val="0"/>
          <w:sz w:val="24"/>
          <w:szCs w:val="24"/>
        </w:rPr>
        <w:t>3.</w:t>
      </w:r>
      <w:r>
        <w:rPr>
          <w:rFonts w:hint="eastAsia" w:ascii="宋体" w:hAnsi="宋体" w:eastAsia="宋体" w:cs="宋体"/>
          <w:color w:val="3E3E3E"/>
          <w:kern w:val="0"/>
          <w:sz w:val="24"/>
          <w:szCs w:val="24"/>
        </w:rPr>
        <w:t>项目单位上一年度纳税证明文件，包括：上一年度完税证明复印件（加盖公章）或上一年度银行缴税凭证复印件（加盖公章），并同时提供按时间顺序排列的缴税明细汇总表；</w:t>
      </w:r>
    </w:p>
    <w:p>
      <w:pPr>
        <w:widowControl/>
        <w:shd w:val="clear" w:color="auto" w:fill="FFFFFF"/>
        <w:spacing w:line="420" w:lineRule="exact"/>
        <w:jc w:val="left"/>
        <w:rPr>
          <w:rFonts w:ascii="宋体" w:hAnsi="宋体" w:eastAsia="宋体" w:cs="宋体"/>
          <w:color w:val="3E3E3E"/>
          <w:kern w:val="0"/>
          <w:szCs w:val="21"/>
        </w:rPr>
      </w:pPr>
      <w:r>
        <w:rPr>
          <w:rFonts w:hint="eastAsia" w:ascii="宋体" w:hAnsi="宋体" w:eastAsia="宋体" w:cs="宋体"/>
          <w:color w:val="3E3E3E"/>
          <w:kern w:val="0"/>
          <w:sz w:val="24"/>
          <w:szCs w:val="24"/>
        </w:rPr>
        <w:t>        </w:t>
      </w:r>
      <w:r>
        <w:rPr>
          <w:rFonts w:hint="eastAsia" w:ascii="宋体" w:hAnsi="宋体" w:eastAsia="宋体" w:cs="宋体"/>
          <w:b/>
          <w:bCs/>
          <w:color w:val="3E3E3E"/>
          <w:kern w:val="0"/>
          <w:sz w:val="24"/>
          <w:szCs w:val="24"/>
        </w:rPr>
        <w:t>4.</w:t>
      </w:r>
      <w:r>
        <w:rPr>
          <w:rFonts w:hint="eastAsia" w:ascii="宋体" w:hAnsi="宋体" w:eastAsia="宋体" w:cs="宋体"/>
          <w:color w:val="3E3E3E"/>
          <w:kern w:val="0"/>
          <w:sz w:val="24"/>
          <w:szCs w:val="24"/>
        </w:rPr>
        <w:t>项目总投资明细表（要求与申报系统中一致，加盖公章，如有信息变更，请将变更内容进行专项说明并加盖公章，附在此表之后）；</w:t>
      </w:r>
    </w:p>
    <w:p>
      <w:pPr>
        <w:widowControl/>
        <w:shd w:val="clear" w:color="auto" w:fill="FFFFFF"/>
        <w:spacing w:line="420" w:lineRule="exact"/>
        <w:jc w:val="left"/>
        <w:rPr>
          <w:rFonts w:ascii="宋体" w:hAnsi="宋体" w:eastAsia="宋体" w:cs="宋体"/>
          <w:color w:val="3E3E3E"/>
          <w:kern w:val="0"/>
          <w:szCs w:val="21"/>
        </w:rPr>
      </w:pPr>
      <w:r>
        <w:rPr>
          <w:rFonts w:hint="eastAsia" w:ascii="宋体" w:hAnsi="宋体" w:eastAsia="宋体" w:cs="宋体"/>
          <w:color w:val="3E3E3E"/>
          <w:kern w:val="0"/>
          <w:sz w:val="24"/>
          <w:szCs w:val="24"/>
        </w:rPr>
        <w:t>        </w:t>
      </w:r>
      <w:r>
        <w:rPr>
          <w:rFonts w:hint="eastAsia" w:ascii="宋体" w:hAnsi="宋体" w:eastAsia="宋体" w:cs="宋体"/>
          <w:b/>
          <w:bCs/>
          <w:color w:val="3E3E3E"/>
          <w:kern w:val="0"/>
          <w:sz w:val="24"/>
          <w:szCs w:val="24"/>
        </w:rPr>
        <w:t>5.</w:t>
      </w:r>
      <w:r>
        <w:rPr>
          <w:rFonts w:hint="eastAsia" w:ascii="宋体" w:hAnsi="宋体" w:eastAsia="宋体" w:cs="宋体"/>
          <w:color w:val="3E3E3E"/>
          <w:kern w:val="0"/>
          <w:sz w:val="24"/>
          <w:szCs w:val="24"/>
        </w:rPr>
        <w:t>对应已完成投资明细表内各单项支出，提供有关证明性材料（包括合同和发票等的复印件），并按照明细科目顺序进行排列，同一明细科目中，合同和发票请按照金额从大到小进行排序；</w:t>
      </w:r>
    </w:p>
    <w:p>
      <w:pPr>
        <w:widowControl/>
        <w:shd w:val="clear" w:color="auto" w:fill="FFFFFF"/>
        <w:spacing w:line="420" w:lineRule="exact"/>
        <w:jc w:val="left"/>
        <w:rPr>
          <w:rFonts w:ascii="宋体" w:hAnsi="宋体" w:eastAsia="宋体" w:cs="宋体"/>
          <w:color w:val="3E3E3E"/>
          <w:kern w:val="0"/>
          <w:szCs w:val="21"/>
        </w:rPr>
      </w:pPr>
      <w:r>
        <w:rPr>
          <w:rFonts w:hint="eastAsia" w:ascii="宋体" w:hAnsi="宋体" w:eastAsia="宋体" w:cs="宋体"/>
          <w:color w:val="3E3E3E"/>
          <w:kern w:val="0"/>
          <w:sz w:val="24"/>
          <w:szCs w:val="24"/>
        </w:rPr>
        <w:t>   </w:t>
      </w:r>
      <w:r>
        <w:rPr>
          <w:rFonts w:hint="eastAsia" w:ascii="宋体" w:hAnsi="宋体" w:eastAsia="宋体" w:cs="宋体"/>
          <w:b/>
          <w:bCs/>
          <w:color w:val="3E3E3E"/>
          <w:kern w:val="0"/>
          <w:sz w:val="24"/>
          <w:szCs w:val="24"/>
        </w:rPr>
        <w:t>     6.</w:t>
      </w:r>
      <w:r>
        <w:rPr>
          <w:rFonts w:hint="eastAsia" w:ascii="宋体" w:hAnsi="宋体" w:eastAsia="宋体" w:cs="宋体"/>
          <w:color w:val="3E3E3E"/>
          <w:kern w:val="0"/>
          <w:sz w:val="24"/>
          <w:szCs w:val="24"/>
        </w:rPr>
        <w:t>项目涉及到的前置审批复印件（加盖公章），如不涉及，出具不涉及项目前置审批的声明（加盖公章）；</w:t>
      </w:r>
    </w:p>
    <w:p>
      <w:pPr>
        <w:widowControl/>
        <w:shd w:val="clear" w:color="auto" w:fill="FFFFFF"/>
        <w:spacing w:line="420" w:lineRule="exact"/>
        <w:jc w:val="left"/>
        <w:rPr>
          <w:rFonts w:ascii="宋体" w:hAnsi="宋体" w:eastAsia="宋体" w:cs="宋体"/>
          <w:color w:val="3E3E3E"/>
          <w:kern w:val="0"/>
          <w:szCs w:val="21"/>
        </w:rPr>
      </w:pPr>
      <w:r>
        <w:rPr>
          <w:rFonts w:hint="eastAsia" w:ascii="宋体" w:hAnsi="宋体" w:eastAsia="宋体" w:cs="宋体"/>
          <w:color w:val="3E3E3E"/>
          <w:kern w:val="0"/>
          <w:sz w:val="24"/>
          <w:szCs w:val="24"/>
        </w:rPr>
        <w:t>        </w:t>
      </w:r>
      <w:r>
        <w:rPr>
          <w:rFonts w:hint="eastAsia" w:ascii="宋体" w:hAnsi="宋体" w:eastAsia="宋体" w:cs="宋体"/>
          <w:b/>
          <w:bCs/>
          <w:color w:val="3E3E3E"/>
          <w:kern w:val="0"/>
          <w:sz w:val="24"/>
          <w:szCs w:val="24"/>
        </w:rPr>
        <w:t>7.</w:t>
      </w:r>
      <w:r>
        <w:rPr>
          <w:rFonts w:hint="eastAsia" w:ascii="宋体" w:hAnsi="宋体" w:eastAsia="宋体" w:cs="宋体"/>
          <w:color w:val="3E3E3E"/>
          <w:kern w:val="0"/>
          <w:sz w:val="24"/>
          <w:szCs w:val="24"/>
        </w:rPr>
        <w:t>项目现场照片（至少2张）；</w:t>
      </w:r>
    </w:p>
    <w:p>
      <w:pPr>
        <w:widowControl/>
        <w:shd w:val="clear" w:color="auto" w:fill="FFFFFF"/>
        <w:spacing w:line="420" w:lineRule="exact"/>
        <w:jc w:val="left"/>
        <w:rPr>
          <w:rFonts w:ascii="宋体" w:hAnsi="宋体" w:eastAsia="宋体" w:cs="宋体"/>
          <w:color w:val="3E3E3E"/>
          <w:kern w:val="0"/>
          <w:szCs w:val="21"/>
        </w:rPr>
      </w:pPr>
      <w:r>
        <w:rPr>
          <w:rFonts w:hint="eastAsia" w:ascii="宋体" w:hAnsi="宋体" w:eastAsia="宋体" w:cs="宋体"/>
          <w:color w:val="3E3E3E"/>
          <w:kern w:val="0"/>
          <w:sz w:val="24"/>
          <w:szCs w:val="24"/>
        </w:rPr>
        <w:t>   </w:t>
      </w:r>
      <w:r>
        <w:rPr>
          <w:rFonts w:hint="eastAsia" w:ascii="宋体" w:hAnsi="宋体" w:eastAsia="宋体" w:cs="宋体"/>
          <w:b/>
          <w:bCs/>
          <w:color w:val="3E3E3E"/>
          <w:kern w:val="0"/>
          <w:sz w:val="24"/>
          <w:szCs w:val="24"/>
        </w:rPr>
        <w:t>     8.</w:t>
      </w:r>
      <w:r>
        <w:rPr>
          <w:rFonts w:hint="eastAsia" w:ascii="宋体" w:hAnsi="宋体" w:eastAsia="宋体" w:cs="宋体"/>
          <w:color w:val="3E3E3E"/>
          <w:kern w:val="0"/>
          <w:sz w:val="24"/>
          <w:szCs w:val="24"/>
        </w:rPr>
        <w:t>项目获奖证书原件复印件（加盖公章）；</w:t>
      </w:r>
    </w:p>
    <w:p>
      <w:pPr>
        <w:widowControl/>
        <w:shd w:val="clear" w:color="auto" w:fill="FFFFFF"/>
        <w:spacing w:line="420" w:lineRule="exact"/>
        <w:jc w:val="left"/>
        <w:rPr>
          <w:rFonts w:ascii="宋体" w:hAnsi="宋体" w:eastAsia="宋体" w:cs="宋体"/>
          <w:color w:val="3E3E3E"/>
          <w:kern w:val="0"/>
          <w:szCs w:val="21"/>
        </w:rPr>
      </w:pPr>
      <w:r>
        <w:rPr>
          <w:rFonts w:hint="eastAsia" w:ascii="宋体" w:hAnsi="宋体" w:eastAsia="宋体" w:cs="宋体"/>
          <w:color w:val="3E3E3E"/>
          <w:kern w:val="0"/>
          <w:sz w:val="24"/>
          <w:szCs w:val="24"/>
        </w:rPr>
        <w:t>  </w:t>
      </w:r>
      <w:r>
        <w:rPr>
          <w:rFonts w:hint="eastAsia" w:ascii="宋体" w:hAnsi="宋体" w:eastAsia="宋体" w:cs="宋体"/>
          <w:b/>
          <w:bCs/>
          <w:color w:val="3E3E3E"/>
          <w:kern w:val="0"/>
          <w:sz w:val="24"/>
          <w:szCs w:val="24"/>
        </w:rPr>
        <w:t>      9.</w:t>
      </w:r>
      <w:r>
        <w:rPr>
          <w:rFonts w:hint="eastAsia" w:ascii="宋体" w:hAnsi="宋体" w:eastAsia="宋体" w:cs="宋体"/>
          <w:color w:val="3E3E3E"/>
          <w:kern w:val="0"/>
          <w:sz w:val="24"/>
          <w:szCs w:val="24"/>
        </w:rPr>
        <w:t>最近两个年度申报单位审计报告及财务状况相关材料（加盖公章）；</w:t>
      </w:r>
    </w:p>
    <w:p>
      <w:pPr>
        <w:widowControl/>
        <w:shd w:val="clear" w:color="auto" w:fill="FFFFFF"/>
        <w:spacing w:line="420" w:lineRule="exact"/>
        <w:jc w:val="left"/>
        <w:rPr>
          <w:rFonts w:ascii="宋体" w:hAnsi="宋体" w:eastAsia="宋体" w:cs="宋体"/>
          <w:color w:val="3E3E3E"/>
          <w:kern w:val="0"/>
          <w:szCs w:val="21"/>
        </w:rPr>
      </w:pPr>
      <w:r>
        <w:rPr>
          <w:rFonts w:hint="eastAsia" w:ascii="宋体" w:hAnsi="宋体" w:eastAsia="宋体" w:cs="宋体"/>
          <w:color w:val="3E3E3E"/>
          <w:kern w:val="0"/>
          <w:sz w:val="24"/>
          <w:szCs w:val="24"/>
        </w:rPr>
        <w:t>        </w:t>
      </w:r>
      <w:r>
        <w:rPr>
          <w:rFonts w:hint="eastAsia" w:ascii="宋体" w:hAnsi="宋体" w:eastAsia="宋体" w:cs="宋体"/>
          <w:b/>
          <w:bCs/>
          <w:color w:val="3E3E3E"/>
          <w:kern w:val="0"/>
          <w:sz w:val="24"/>
          <w:szCs w:val="24"/>
        </w:rPr>
        <w:t>10.</w:t>
      </w:r>
      <w:r>
        <w:rPr>
          <w:rFonts w:hint="eastAsia" w:ascii="宋体" w:hAnsi="宋体" w:eastAsia="宋体" w:cs="宋体"/>
          <w:color w:val="3E3E3E"/>
          <w:kern w:val="0"/>
          <w:sz w:val="24"/>
          <w:szCs w:val="24"/>
        </w:rPr>
        <w:t>其他需要补充的材料。</w:t>
      </w:r>
    </w:p>
    <w:p>
      <w:pPr>
        <w:widowControl/>
        <w:shd w:val="clear" w:color="auto" w:fill="FFFFFF"/>
        <w:spacing w:line="420" w:lineRule="exact"/>
        <w:jc w:val="left"/>
        <w:rPr>
          <w:rFonts w:ascii="宋体" w:hAnsi="宋体" w:eastAsia="宋体" w:cs="宋体"/>
          <w:color w:val="3E3E3E"/>
          <w:kern w:val="0"/>
          <w:szCs w:val="21"/>
        </w:rPr>
      </w:pPr>
      <w:r>
        <w:rPr>
          <w:rFonts w:hint="eastAsia" w:ascii="宋体" w:hAnsi="宋体" w:eastAsia="宋体" w:cs="宋体"/>
          <w:color w:val="3E3E3E"/>
          <w:kern w:val="0"/>
          <w:sz w:val="24"/>
          <w:szCs w:val="24"/>
        </w:rPr>
        <w:t>       上述材料中，按照《关于贯彻落实〈国务院办公厅关于加快推进“三证合一”登记制度改革的意见〉的通知》（工商企注字〔2015〕121号）要求已换发加载统一社会信用代码营业执照的企业，不再要求其提供组织机构代码证。 </w:t>
      </w:r>
    </w:p>
    <w:p>
      <w:pPr>
        <w:widowControl/>
        <w:shd w:val="clear" w:color="auto" w:fill="FFFFFF"/>
        <w:spacing w:line="420" w:lineRule="exact"/>
        <w:jc w:val="left"/>
        <w:rPr>
          <w:rFonts w:ascii="宋体" w:hAnsi="宋体" w:eastAsia="宋体" w:cs="宋体"/>
          <w:color w:val="3E3E3E"/>
          <w:kern w:val="0"/>
          <w:szCs w:val="21"/>
        </w:rPr>
      </w:pPr>
      <w:r>
        <w:rPr>
          <w:rFonts w:hint="eastAsia" w:ascii="宋体" w:hAnsi="宋体" w:eastAsia="宋体" w:cs="宋体"/>
          <w:color w:val="3E3E3E"/>
          <w:kern w:val="0"/>
          <w:sz w:val="24"/>
          <w:szCs w:val="24"/>
        </w:rPr>
        <w:t>    </w:t>
      </w:r>
      <w:r>
        <w:rPr>
          <w:rFonts w:hint="eastAsia" w:ascii="宋体" w:hAnsi="宋体" w:eastAsia="宋体" w:cs="宋体"/>
          <w:b/>
          <w:bCs/>
          <w:color w:val="3E3E3E"/>
          <w:kern w:val="0"/>
          <w:sz w:val="24"/>
          <w:szCs w:val="24"/>
        </w:rPr>
        <w:t>第六条</w:t>
      </w:r>
      <w:r>
        <w:rPr>
          <w:rFonts w:hint="eastAsia" w:ascii="宋体" w:hAnsi="宋体" w:eastAsia="宋体" w:cs="宋体"/>
          <w:color w:val="3E3E3E"/>
          <w:kern w:val="0"/>
          <w:sz w:val="24"/>
          <w:szCs w:val="24"/>
        </w:rPr>
        <w:t>  资金支持总体原则：项目支持额度原则上不超过项目核定总投资的30%，且不超过申报单位的申请额度。其中,申报项目核定总投资高于1000万元的支持金额最高不超过500万元；申报项目核定总投资不高于1000万元的支持金额最高不超过200万元。</w:t>
      </w:r>
    </w:p>
    <w:p>
      <w:pPr>
        <w:widowControl/>
        <w:shd w:val="clear" w:color="auto" w:fill="FFFFFF"/>
        <w:spacing w:line="420" w:lineRule="exact"/>
        <w:jc w:val="left"/>
        <w:rPr>
          <w:rFonts w:ascii="宋体" w:hAnsi="宋体" w:eastAsia="宋体" w:cs="宋体"/>
          <w:color w:val="3E3E3E"/>
          <w:kern w:val="0"/>
          <w:szCs w:val="21"/>
        </w:rPr>
      </w:pPr>
      <w:r>
        <w:rPr>
          <w:rFonts w:hint="eastAsia" w:ascii="宋体" w:hAnsi="宋体" w:eastAsia="宋体" w:cs="宋体"/>
          <w:color w:val="3E3E3E"/>
          <w:kern w:val="0"/>
          <w:sz w:val="24"/>
          <w:szCs w:val="24"/>
        </w:rPr>
        <w:t>   </w:t>
      </w:r>
      <w:r>
        <w:rPr>
          <w:rFonts w:hint="eastAsia" w:ascii="宋体" w:hAnsi="宋体" w:eastAsia="宋体" w:cs="宋体"/>
          <w:b/>
          <w:bCs/>
          <w:color w:val="3E3E3E"/>
          <w:kern w:val="0"/>
          <w:sz w:val="24"/>
          <w:szCs w:val="24"/>
        </w:rPr>
        <w:t> 第七条</w:t>
      </w:r>
      <w:r>
        <w:rPr>
          <w:rFonts w:hint="eastAsia" w:ascii="宋体" w:hAnsi="宋体" w:eastAsia="宋体" w:cs="宋体"/>
          <w:color w:val="3E3E3E"/>
          <w:kern w:val="0"/>
          <w:sz w:val="24"/>
          <w:szCs w:val="24"/>
        </w:rPr>
        <w:t>  申报项目核定总投资高于1000万元的，按照以下标准测算支持额：以行业奖励类支持总金额为基数，以项目核定投资金额、申报单位上一年度净资产、上一年度纳税额和专家打分情况等为权重指标。分别设定项目核定投资金额权重为50%，净资产权重10%，纳税额权重20%，专家打分情况权重20%（见表1）。按照净资产数额分档设定净资产指数（见表2）。</w:t>
      </w:r>
    </w:p>
    <w:p>
      <w:pPr>
        <w:widowControl/>
        <w:shd w:val="clear" w:color="auto" w:fill="FFFFFF"/>
        <w:spacing w:line="420" w:lineRule="exact"/>
        <w:jc w:val="left"/>
        <w:rPr>
          <w:rFonts w:ascii="宋体" w:hAnsi="宋体" w:eastAsia="宋体" w:cs="宋体"/>
          <w:color w:val="3E3E3E"/>
          <w:kern w:val="0"/>
          <w:szCs w:val="21"/>
        </w:rPr>
      </w:pPr>
      <w:r>
        <w:rPr>
          <w:rFonts w:hint="eastAsia" w:ascii="宋体" w:hAnsi="宋体" w:eastAsia="宋体" w:cs="宋体"/>
          <w:color w:val="3E3E3E"/>
          <w:kern w:val="0"/>
          <w:sz w:val="24"/>
          <w:szCs w:val="24"/>
        </w:rPr>
        <w:t> </w:t>
      </w:r>
    </w:p>
    <w:p>
      <w:pPr>
        <w:widowControl/>
        <w:shd w:val="clear" w:color="auto" w:fill="FFFFFF"/>
        <w:spacing w:line="420" w:lineRule="exact"/>
        <w:jc w:val="center"/>
        <w:rPr>
          <w:rFonts w:ascii="宋体" w:hAnsi="宋体" w:eastAsia="宋体" w:cs="宋体"/>
          <w:color w:val="3E3E3E"/>
          <w:kern w:val="0"/>
          <w:szCs w:val="21"/>
        </w:rPr>
      </w:pPr>
      <w:r>
        <w:rPr>
          <w:rFonts w:hint="eastAsia" w:ascii="宋体" w:hAnsi="宋体" w:eastAsia="宋体" w:cs="宋体"/>
          <w:b/>
          <w:bCs/>
          <w:color w:val="3E3E3E"/>
          <w:kern w:val="0"/>
          <w:sz w:val="24"/>
          <w:szCs w:val="24"/>
        </w:rPr>
        <w:t>表1  参考因素及权重</w:t>
      </w:r>
    </w:p>
    <w:p>
      <w:pPr>
        <w:widowControl/>
        <w:shd w:val="clear" w:color="auto" w:fill="FFFFFF"/>
        <w:spacing w:line="420" w:lineRule="exact"/>
        <w:jc w:val="left"/>
        <w:rPr>
          <w:rFonts w:ascii="宋体" w:hAnsi="宋体" w:eastAsia="宋体" w:cs="宋体"/>
          <w:color w:val="3E3E3E"/>
          <w:kern w:val="0"/>
          <w:szCs w:val="21"/>
        </w:rPr>
      </w:pPr>
      <w:r>
        <w:rPr>
          <w:rFonts w:hint="eastAsia" w:ascii="宋体" w:hAnsi="宋体" w:eastAsia="宋体" w:cs="宋体"/>
          <w:color w:val="3E3E3E"/>
          <w:kern w:val="0"/>
          <w:sz w:val="24"/>
          <w:szCs w:val="24"/>
        </w:rPr>
        <w:t> </w:t>
      </w:r>
    </w:p>
    <w:tbl>
      <w:tblPr>
        <w:tblStyle w:val="16"/>
        <w:tblW w:w="10050" w:type="dxa"/>
        <w:jc w:val="center"/>
        <w:tblInd w:w="0" w:type="dxa"/>
        <w:shd w:val="clear" w:color="auto" w:fill="FFFFFF"/>
        <w:tblLayout w:type="fixed"/>
        <w:tblCellMar>
          <w:top w:w="0" w:type="dxa"/>
          <w:left w:w="0" w:type="dxa"/>
          <w:bottom w:w="0" w:type="dxa"/>
          <w:right w:w="0" w:type="dxa"/>
        </w:tblCellMar>
      </w:tblPr>
      <w:tblGrid>
        <w:gridCol w:w="1166"/>
        <w:gridCol w:w="7551"/>
        <w:gridCol w:w="1333"/>
      </w:tblGrid>
      <w:tr>
        <w:tblPrEx>
          <w:shd w:val="clear" w:color="auto" w:fill="FFFFFF"/>
          <w:tblLayout w:type="fixed"/>
          <w:tblCellMar>
            <w:top w:w="0" w:type="dxa"/>
            <w:left w:w="0" w:type="dxa"/>
            <w:bottom w:w="0" w:type="dxa"/>
            <w:right w:w="0" w:type="dxa"/>
          </w:tblCellMar>
        </w:tblPrEx>
        <w:trPr>
          <w:jc w:val="center"/>
        </w:trPr>
        <w:tc>
          <w:tcPr>
            <w:tcW w:w="1166"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color w:val="3E3E3E"/>
                <w:kern w:val="0"/>
                <w:szCs w:val="21"/>
              </w:rPr>
              <w:t>序号</w:t>
            </w:r>
          </w:p>
        </w:tc>
        <w:tc>
          <w:tcPr>
            <w:tcW w:w="7551"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b/>
                <w:bCs/>
                <w:color w:val="3E3E3E"/>
                <w:kern w:val="0"/>
                <w:sz w:val="24"/>
                <w:szCs w:val="24"/>
              </w:rPr>
              <w:t>参考因素</w:t>
            </w:r>
          </w:p>
        </w:tc>
        <w:tc>
          <w:tcPr>
            <w:tcW w:w="1333"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b/>
                <w:bCs/>
                <w:color w:val="3E3E3E"/>
                <w:kern w:val="0"/>
                <w:sz w:val="24"/>
                <w:szCs w:val="24"/>
              </w:rPr>
              <w:t>权重</w:t>
            </w:r>
          </w:p>
        </w:tc>
      </w:tr>
      <w:tr>
        <w:tblPrEx>
          <w:tblLayout w:type="fixed"/>
          <w:tblCellMar>
            <w:top w:w="0" w:type="dxa"/>
            <w:left w:w="0" w:type="dxa"/>
            <w:bottom w:w="0" w:type="dxa"/>
            <w:right w:w="0" w:type="dxa"/>
          </w:tblCellMar>
        </w:tblPrEx>
        <w:trPr>
          <w:jc w:val="center"/>
        </w:trPr>
        <w:tc>
          <w:tcPr>
            <w:tcW w:w="1166"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color w:val="3E3E3E"/>
                <w:kern w:val="0"/>
                <w:szCs w:val="21"/>
              </w:rPr>
              <w:t>1</w:t>
            </w:r>
          </w:p>
        </w:tc>
        <w:tc>
          <w:tcPr>
            <w:tcW w:w="7551"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color w:val="3E3E3E"/>
                <w:kern w:val="0"/>
                <w:sz w:val="24"/>
                <w:szCs w:val="24"/>
              </w:rPr>
              <w:t>项目核定总投资金额（A）</w:t>
            </w:r>
          </w:p>
        </w:tc>
        <w:tc>
          <w:tcPr>
            <w:tcW w:w="1333"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color w:val="3E3E3E"/>
                <w:kern w:val="0"/>
                <w:szCs w:val="21"/>
              </w:rPr>
              <w:t>0.5</w:t>
            </w:r>
          </w:p>
        </w:tc>
      </w:tr>
      <w:tr>
        <w:tblPrEx>
          <w:tblLayout w:type="fixed"/>
          <w:tblCellMar>
            <w:top w:w="0" w:type="dxa"/>
            <w:left w:w="0" w:type="dxa"/>
            <w:bottom w:w="0" w:type="dxa"/>
            <w:right w:w="0" w:type="dxa"/>
          </w:tblCellMar>
        </w:tblPrEx>
        <w:trPr>
          <w:jc w:val="center"/>
        </w:trPr>
        <w:tc>
          <w:tcPr>
            <w:tcW w:w="1166"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color w:val="3E3E3E"/>
                <w:kern w:val="0"/>
                <w:szCs w:val="21"/>
              </w:rPr>
              <w:t>2</w:t>
            </w:r>
          </w:p>
        </w:tc>
        <w:tc>
          <w:tcPr>
            <w:tcW w:w="7551"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color w:val="3E3E3E"/>
                <w:kern w:val="0"/>
                <w:sz w:val="24"/>
                <w:szCs w:val="24"/>
              </w:rPr>
              <w:t>上一年度净资产指数（B）</w:t>
            </w:r>
          </w:p>
        </w:tc>
        <w:tc>
          <w:tcPr>
            <w:tcW w:w="1333"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color w:val="3E3E3E"/>
                <w:kern w:val="0"/>
                <w:szCs w:val="21"/>
              </w:rPr>
              <w:t>0.1</w:t>
            </w:r>
          </w:p>
        </w:tc>
      </w:tr>
      <w:tr>
        <w:tblPrEx>
          <w:tblLayout w:type="fixed"/>
        </w:tblPrEx>
        <w:trPr>
          <w:jc w:val="center"/>
        </w:trPr>
        <w:tc>
          <w:tcPr>
            <w:tcW w:w="1166"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color w:val="3E3E3E"/>
                <w:kern w:val="0"/>
                <w:szCs w:val="21"/>
              </w:rPr>
              <w:t>3</w:t>
            </w:r>
          </w:p>
        </w:tc>
        <w:tc>
          <w:tcPr>
            <w:tcW w:w="7551"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color w:val="3E3E3E"/>
                <w:kern w:val="0"/>
                <w:sz w:val="24"/>
                <w:szCs w:val="24"/>
              </w:rPr>
              <w:t>上一年度纳税额（C）</w:t>
            </w:r>
          </w:p>
        </w:tc>
        <w:tc>
          <w:tcPr>
            <w:tcW w:w="1333"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color w:val="3E3E3E"/>
                <w:kern w:val="0"/>
                <w:szCs w:val="21"/>
              </w:rPr>
              <w:t>0.2</w:t>
            </w:r>
          </w:p>
        </w:tc>
      </w:tr>
      <w:tr>
        <w:tblPrEx>
          <w:tblLayout w:type="fixed"/>
          <w:tblCellMar>
            <w:top w:w="0" w:type="dxa"/>
            <w:left w:w="0" w:type="dxa"/>
            <w:bottom w:w="0" w:type="dxa"/>
            <w:right w:w="0" w:type="dxa"/>
          </w:tblCellMar>
        </w:tblPrEx>
        <w:trPr>
          <w:jc w:val="center"/>
        </w:trPr>
        <w:tc>
          <w:tcPr>
            <w:tcW w:w="1166"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color w:val="3E3E3E"/>
                <w:kern w:val="0"/>
                <w:szCs w:val="21"/>
              </w:rPr>
              <w:t>4</w:t>
            </w:r>
          </w:p>
        </w:tc>
        <w:tc>
          <w:tcPr>
            <w:tcW w:w="7551"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color w:val="3E3E3E"/>
                <w:kern w:val="0"/>
                <w:sz w:val="24"/>
                <w:szCs w:val="24"/>
              </w:rPr>
              <w:t>专家打分情况（E）</w:t>
            </w:r>
          </w:p>
        </w:tc>
        <w:tc>
          <w:tcPr>
            <w:tcW w:w="1333"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color w:val="3E3E3E"/>
                <w:kern w:val="0"/>
                <w:szCs w:val="21"/>
              </w:rPr>
              <w:t>0.2</w:t>
            </w:r>
          </w:p>
        </w:tc>
      </w:tr>
    </w:tbl>
    <w:p>
      <w:pPr>
        <w:widowControl/>
        <w:shd w:val="clear" w:color="auto" w:fill="FFFFFF"/>
        <w:spacing w:line="420" w:lineRule="exact"/>
        <w:jc w:val="left"/>
        <w:rPr>
          <w:rFonts w:ascii="宋体" w:hAnsi="宋体" w:eastAsia="宋体" w:cs="宋体"/>
          <w:color w:val="3E3E3E"/>
          <w:kern w:val="0"/>
          <w:szCs w:val="21"/>
        </w:rPr>
      </w:pPr>
      <w:r>
        <w:rPr>
          <w:rFonts w:hint="eastAsia" w:ascii="宋体" w:hAnsi="宋体" w:eastAsia="宋体" w:cs="宋体"/>
          <w:color w:val="3E3E3E"/>
          <w:kern w:val="0"/>
          <w:sz w:val="24"/>
          <w:szCs w:val="24"/>
        </w:rPr>
        <w:t>       </w:t>
      </w:r>
    </w:p>
    <w:p>
      <w:pPr>
        <w:widowControl/>
        <w:shd w:val="clear" w:color="auto" w:fill="FFFFFF"/>
        <w:spacing w:line="420" w:lineRule="exact"/>
        <w:jc w:val="left"/>
        <w:rPr>
          <w:rFonts w:ascii="宋体" w:hAnsi="宋体" w:eastAsia="宋体" w:cs="宋体"/>
          <w:color w:val="3E3E3E"/>
          <w:kern w:val="0"/>
          <w:szCs w:val="21"/>
        </w:rPr>
      </w:pPr>
      <w:r>
        <w:rPr>
          <w:rFonts w:hint="eastAsia" w:ascii="宋体" w:hAnsi="宋体" w:eastAsia="宋体" w:cs="宋体"/>
          <w:color w:val="3E3E3E"/>
          <w:kern w:val="0"/>
          <w:sz w:val="24"/>
          <w:szCs w:val="24"/>
        </w:rPr>
        <w:t>    行业内每个项目支持额度可按照如下公式计算：</w:t>
      </w:r>
    </w:p>
    <w:p>
      <w:pPr>
        <w:widowControl/>
        <w:shd w:val="clear" w:color="auto" w:fill="FFFFFF"/>
        <w:spacing w:line="420" w:lineRule="exact"/>
        <w:jc w:val="left"/>
        <w:rPr>
          <w:rFonts w:ascii="宋体" w:hAnsi="宋体" w:eastAsia="宋体" w:cs="宋体"/>
          <w:color w:val="3E3E3E"/>
          <w:kern w:val="0"/>
          <w:szCs w:val="21"/>
        </w:rPr>
      </w:pPr>
      <w:r>
        <w:rPr>
          <w:rFonts w:hint="eastAsia" w:ascii="宋体" w:hAnsi="宋体" w:eastAsia="宋体" w:cs="宋体"/>
          <w:color w:val="3E3E3E"/>
          <w:kern w:val="0"/>
          <w:sz w:val="24"/>
          <w:szCs w:val="24"/>
        </w:rPr>
        <w:t>    奖励资金额度</w:t>
      </w:r>
      <w:r>
        <w:rPr>
          <w:rFonts w:hint="eastAsia" w:ascii="宋体" w:hAnsi="宋体" w:eastAsia="宋体" w:cs="宋体"/>
          <w:b/>
          <w:bCs/>
          <w:color w:val="3E3E3E"/>
          <w:kern w:val="0"/>
          <w:sz w:val="24"/>
          <w:szCs w:val="24"/>
        </w:rPr>
        <w:t>= </w:t>
      </w:r>
      <w:r>
        <w:rPr>
          <w:rFonts w:ascii="宋体" w:hAnsi="宋体" w:eastAsia="宋体" w:cs="宋体"/>
          <w:b/>
          <w:bCs/>
          <w:color w:val="3E3E3E"/>
          <w:kern w:val="0"/>
          <w:sz w:val="24"/>
          <w:szCs w:val="24"/>
        </w:rPr>
        <w:pict>
          <v:shape id="_x0000_i1025" o:spt="75" type="#_x0000_t75" style="height:24pt;width:24pt;" filled="f" o:preferrelative="t" stroked="f" coordsize="21600,21600">
            <v:path/>
            <v:fill on="f" focussize="0,0"/>
            <v:stroke on="f" joinstyle="miter"/>
            <v:imagedata o:title=""/>
            <o:lock v:ext="edit" aspectratio="t"/>
            <w10:wrap type="none"/>
            <w10:anchorlock/>
          </v:shape>
        </w:pict>
      </w:r>
    </w:p>
    <w:p>
      <w:pPr>
        <w:widowControl/>
        <w:shd w:val="clear" w:color="auto" w:fill="FFFFFF"/>
        <w:spacing w:line="420" w:lineRule="exact"/>
        <w:jc w:val="left"/>
        <w:rPr>
          <w:rFonts w:ascii="宋体" w:hAnsi="宋体" w:eastAsia="宋体" w:cs="宋体"/>
          <w:color w:val="3E3E3E"/>
          <w:kern w:val="0"/>
          <w:szCs w:val="21"/>
        </w:rPr>
      </w:pPr>
      <w:r>
        <w:rPr>
          <w:rFonts w:hint="eastAsia" w:ascii="宋体" w:hAnsi="宋体" w:eastAsia="宋体" w:cs="宋体"/>
          <w:color w:val="3E3E3E"/>
          <w:kern w:val="0"/>
          <w:sz w:val="24"/>
          <w:szCs w:val="24"/>
        </w:rPr>
        <w:t>    其中，S为本行业奖励类拟支持资金总额；</w:t>
      </w:r>
      <w:r>
        <w:rPr>
          <w:rFonts w:hint="eastAsia" w:ascii="宋体" w:hAnsi="宋体" w:eastAsia="宋体" w:cs="宋体"/>
          <w:b/>
          <w:bCs/>
          <w:color w:val="3E3E3E"/>
          <w:kern w:val="0"/>
          <w:sz w:val="24"/>
          <w:szCs w:val="24"/>
        </w:rPr>
        <w:t>A</w:t>
      </w:r>
      <w:r>
        <w:rPr>
          <w:rFonts w:hint="eastAsia" w:ascii="宋体" w:hAnsi="宋体" w:eastAsia="宋体" w:cs="宋体"/>
          <w:b/>
          <w:bCs/>
          <w:color w:val="3E3E3E"/>
          <w:kern w:val="0"/>
          <w:sz w:val="24"/>
          <w:szCs w:val="24"/>
          <w:vertAlign w:val="subscript"/>
        </w:rPr>
        <w:t>i</w:t>
      </w:r>
      <w:r>
        <w:rPr>
          <w:rFonts w:hint="eastAsia" w:ascii="宋体" w:hAnsi="宋体" w:eastAsia="宋体" w:cs="宋体"/>
          <w:color w:val="3E3E3E"/>
          <w:kern w:val="0"/>
          <w:sz w:val="24"/>
          <w:szCs w:val="24"/>
        </w:rPr>
        <w:t>为某个项目核定总投资金额，∑A为行业内全部奖励类项目核定总投资金额的汇总值；</w:t>
      </w:r>
      <w:r>
        <w:rPr>
          <w:rFonts w:hint="eastAsia" w:ascii="宋体" w:hAnsi="宋体" w:eastAsia="宋体" w:cs="宋体"/>
          <w:b/>
          <w:bCs/>
          <w:color w:val="3E3E3E"/>
          <w:kern w:val="0"/>
          <w:sz w:val="24"/>
          <w:szCs w:val="24"/>
        </w:rPr>
        <w:t>B</w:t>
      </w:r>
      <w:r>
        <w:rPr>
          <w:rFonts w:hint="eastAsia" w:ascii="宋体" w:hAnsi="宋体" w:eastAsia="宋体" w:cs="宋体"/>
          <w:b/>
          <w:bCs/>
          <w:color w:val="3E3E3E"/>
          <w:kern w:val="0"/>
          <w:sz w:val="24"/>
          <w:szCs w:val="24"/>
          <w:vertAlign w:val="subscript"/>
        </w:rPr>
        <w:t>i</w:t>
      </w:r>
      <w:r>
        <w:rPr>
          <w:rFonts w:hint="eastAsia" w:ascii="宋体" w:hAnsi="宋体" w:eastAsia="宋体" w:cs="宋体"/>
          <w:color w:val="3E3E3E"/>
          <w:kern w:val="0"/>
          <w:sz w:val="24"/>
          <w:szCs w:val="24"/>
        </w:rPr>
        <w:t>为某个项目单位上一年度的净资产指数，∑B为行业内全部（奖励类）项目单位上一年度净资产指数的汇总值； </w:t>
      </w:r>
      <w:r>
        <w:rPr>
          <w:rFonts w:hint="eastAsia" w:ascii="宋体" w:hAnsi="宋体" w:eastAsia="宋体" w:cs="宋体"/>
          <w:b/>
          <w:bCs/>
          <w:color w:val="3E3E3E"/>
          <w:kern w:val="0"/>
          <w:sz w:val="24"/>
          <w:szCs w:val="24"/>
        </w:rPr>
        <w:t>C</w:t>
      </w:r>
      <w:r>
        <w:rPr>
          <w:rFonts w:hint="eastAsia" w:ascii="宋体" w:hAnsi="宋体" w:eastAsia="宋体" w:cs="宋体"/>
          <w:b/>
          <w:bCs/>
          <w:color w:val="3E3E3E"/>
          <w:kern w:val="0"/>
          <w:sz w:val="24"/>
          <w:szCs w:val="24"/>
          <w:vertAlign w:val="subscript"/>
        </w:rPr>
        <w:t>i</w:t>
      </w:r>
      <w:r>
        <w:rPr>
          <w:rFonts w:hint="eastAsia" w:ascii="宋体" w:hAnsi="宋体" w:eastAsia="宋体" w:cs="宋体"/>
          <w:color w:val="3E3E3E"/>
          <w:kern w:val="0"/>
          <w:sz w:val="24"/>
          <w:szCs w:val="24"/>
        </w:rPr>
        <w:t>为某个项目单位上一年度的纳税额，∑C为行业内全部（奖励类）项目单位上一年度纳税额的汇总值； </w:t>
      </w:r>
      <w:r>
        <w:rPr>
          <w:rFonts w:hint="eastAsia" w:ascii="宋体" w:hAnsi="宋体" w:eastAsia="宋体" w:cs="宋体"/>
          <w:b/>
          <w:bCs/>
          <w:color w:val="3E3E3E"/>
          <w:kern w:val="0"/>
          <w:sz w:val="24"/>
          <w:szCs w:val="24"/>
        </w:rPr>
        <w:t>E</w:t>
      </w:r>
      <w:r>
        <w:rPr>
          <w:rFonts w:hint="eastAsia" w:ascii="宋体" w:hAnsi="宋体" w:eastAsia="宋体" w:cs="宋体"/>
          <w:b/>
          <w:bCs/>
          <w:color w:val="3E3E3E"/>
          <w:kern w:val="0"/>
          <w:sz w:val="24"/>
          <w:szCs w:val="24"/>
          <w:vertAlign w:val="subscript"/>
        </w:rPr>
        <w:t>i</w:t>
      </w:r>
      <w:r>
        <w:rPr>
          <w:rFonts w:hint="eastAsia" w:ascii="宋体" w:hAnsi="宋体" w:eastAsia="宋体" w:cs="宋体"/>
          <w:color w:val="3E3E3E"/>
          <w:kern w:val="0"/>
          <w:sz w:val="24"/>
          <w:szCs w:val="24"/>
        </w:rPr>
        <w:t>为某个项目专家评分，∑E为某个行业所有（奖励类）项目的专家评分总和。</w:t>
      </w:r>
    </w:p>
    <w:p>
      <w:pPr>
        <w:widowControl/>
        <w:shd w:val="clear" w:color="auto" w:fill="FFFFFF"/>
        <w:spacing w:line="420" w:lineRule="exact"/>
        <w:jc w:val="left"/>
        <w:rPr>
          <w:rFonts w:ascii="宋体" w:hAnsi="宋体" w:eastAsia="宋体" w:cs="宋体"/>
          <w:color w:val="3E3E3E"/>
          <w:kern w:val="0"/>
          <w:szCs w:val="21"/>
        </w:rPr>
      </w:pPr>
      <w:r>
        <w:rPr>
          <w:rFonts w:hint="eastAsia" w:ascii="宋体" w:hAnsi="宋体" w:eastAsia="宋体" w:cs="宋体"/>
          <w:color w:val="3E3E3E"/>
          <w:kern w:val="0"/>
          <w:sz w:val="24"/>
          <w:szCs w:val="24"/>
        </w:rPr>
        <w:t> </w:t>
      </w:r>
    </w:p>
    <w:p>
      <w:pPr>
        <w:widowControl/>
        <w:shd w:val="clear" w:color="auto" w:fill="FFFFFF"/>
        <w:spacing w:line="420" w:lineRule="exact"/>
        <w:jc w:val="center"/>
        <w:rPr>
          <w:rFonts w:ascii="宋体" w:hAnsi="宋体" w:eastAsia="宋体" w:cs="宋体"/>
          <w:color w:val="3E3E3E"/>
          <w:kern w:val="0"/>
          <w:szCs w:val="21"/>
        </w:rPr>
      </w:pPr>
      <w:r>
        <w:rPr>
          <w:rFonts w:hint="eastAsia" w:ascii="宋体" w:hAnsi="宋体" w:eastAsia="宋体" w:cs="宋体"/>
          <w:b/>
          <w:bCs/>
          <w:color w:val="3E3E3E"/>
          <w:kern w:val="0"/>
          <w:sz w:val="24"/>
          <w:szCs w:val="24"/>
        </w:rPr>
        <w:t>表2  净资产指数表</w:t>
      </w:r>
    </w:p>
    <w:p>
      <w:pPr>
        <w:widowControl/>
        <w:shd w:val="clear" w:color="auto" w:fill="FFFFFF"/>
        <w:spacing w:line="420" w:lineRule="exact"/>
        <w:jc w:val="left"/>
        <w:rPr>
          <w:rFonts w:ascii="宋体" w:hAnsi="宋体" w:eastAsia="宋体" w:cs="宋体"/>
          <w:color w:val="3E3E3E"/>
          <w:kern w:val="0"/>
          <w:szCs w:val="21"/>
        </w:rPr>
      </w:pPr>
      <w:r>
        <w:rPr>
          <w:rFonts w:hint="eastAsia" w:ascii="宋体" w:hAnsi="宋体" w:eastAsia="宋体" w:cs="宋体"/>
          <w:color w:val="3E3E3E"/>
          <w:kern w:val="0"/>
          <w:sz w:val="24"/>
          <w:szCs w:val="24"/>
        </w:rPr>
        <w:t> </w:t>
      </w:r>
    </w:p>
    <w:tbl>
      <w:tblPr>
        <w:tblStyle w:val="16"/>
        <w:tblW w:w="10050" w:type="dxa"/>
        <w:jc w:val="center"/>
        <w:tblInd w:w="0" w:type="dxa"/>
        <w:shd w:val="clear" w:color="auto" w:fill="FFFFFF"/>
        <w:tblLayout w:type="fixed"/>
        <w:tblCellMar>
          <w:top w:w="0" w:type="dxa"/>
          <w:left w:w="0" w:type="dxa"/>
          <w:bottom w:w="0" w:type="dxa"/>
          <w:right w:w="0" w:type="dxa"/>
        </w:tblCellMar>
      </w:tblPr>
      <w:tblGrid>
        <w:gridCol w:w="1366"/>
        <w:gridCol w:w="7318"/>
        <w:gridCol w:w="1366"/>
      </w:tblGrid>
      <w:tr>
        <w:tblPrEx>
          <w:shd w:val="clear" w:color="auto" w:fill="FFFFFF"/>
          <w:tblLayout w:type="fixed"/>
          <w:tblCellMar>
            <w:top w:w="0" w:type="dxa"/>
            <w:left w:w="0" w:type="dxa"/>
            <w:bottom w:w="0" w:type="dxa"/>
            <w:right w:w="0" w:type="dxa"/>
          </w:tblCellMar>
        </w:tblPrEx>
        <w:trPr>
          <w:jc w:val="center"/>
        </w:trPr>
        <w:tc>
          <w:tcPr>
            <w:tcW w:w="1366"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b/>
                <w:bCs/>
                <w:color w:val="3E3E3E"/>
                <w:kern w:val="0"/>
                <w:sz w:val="24"/>
                <w:szCs w:val="24"/>
              </w:rPr>
              <w:t>序号</w:t>
            </w:r>
          </w:p>
        </w:tc>
        <w:tc>
          <w:tcPr>
            <w:tcW w:w="7318"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b/>
                <w:bCs/>
                <w:color w:val="3E3E3E"/>
                <w:kern w:val="0"/>
                <w:sz w:val="24"/>
                <w:szCs w:val="24"/>
              </w:rPr>
              <w:t>净资产分档</w:t>
            </w:r>
          </w:p>
        </w:tc>
        <w:tc>
          <w:tcPr>
            <w:tcW w:w="1366"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b/>
                <w:bCs/>
                <w:color w:val="3E3E3E"/>
                <w:kern w:val="0"/>
                <w:sz w:val="24"/>
                <w:szCs w:val="24"/>
              </w:rPr>
              <w:t>指数</w:t>
            </w:r>
          </w:p>
        </w:tc>
      </w:tr>
      <w:tr>
        <w:tblPrEx>
          <w:tblLayout w:type="fixed"/>
          <w:tblCellMar>
            <w:top w:w="0" w:type="dxa"/>
            <w:left w:w="0" w:type="dxa"/>
            <w:bottom w:w="0" w:type="dxa"/>
            <w:right w:w="0" w:type="dxa"/>
          </w:tblCellMar>
        </w:tblPrEx>
        <w:trPr>
          <w:jc w:val="center"/>
        </w:trPr>
        <w:tc>
          <w:tcPr>
            <w:tcW w:w="1366"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color w:val="3E3E3E"/>
                <w:kern w:val="0"/>
                <w:szCs w:val="21"/>
              </w:rPr>
              <w:t>1</w:t>
            </w:r>
          </w:p>
        </w:tc>
        <w:tc>
          <w:tcPr>
            <w:tcW w:w="7318"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color w:val="3E3E3E"/>
                <w:kern w:val="0"/>
                <w:sz w:val="24"/>
                <w:szCs w:val="24"/>
              </w:rPr>
              <w:t>5000万元及以上</w:t>
            </w:r>
          </w:p>
        </w:tc>
        <w:tc>
          <w:tcPr>
            <w:tcW w:w="1366"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color w:val="3E3E3E"/>
                <w:kern w:val="0"/>
                <w:szCs w:val="21"/>
              </w:rPr>
              <w:t>1.0</w:t>
            </w:r>
          </w:p>
        </w:tc>
      </w:tr>
      <w:tr>
        <w:tblPrEx>
          <w:tblLayout w:type="fixed"/>
          <w:tblCellMar>
            <w:top w:w="0" w:type="dxa"/>
            <w:left w:w="0" w:type="dxa"/>
            <w:bottom w:w="0" w:type="dxa"/>
            <w:right w:w="0" w:type="dxa"/>
          </w:tblCellMar>
        </w:tblPrEx>
        <w:trPr>
          <w:jc w:val="center"/>
        </w:trPr>
        <w:tc>
          <w:tcPr>
            <w:tcW w:w="1366"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color w:val="3E3E3E"/>
                <w:kern w:val="0"/>
                <w:szCs w:val="21"/>
              </w:rPr>
              <w:t>2</w:t>
            </w:r>
          </w:p>
        </w:tc>
        <w:tc>
          <w:tcPr>
            <w:tcW w:w="7318"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color w:val="3E3E3E"/>
                <w:kern w:val="0"/>
                <w:sz w:val="24"/>
                <w:szCs w:val="24"/>
              </w:rPr>
              <w:t>3000-5000万元（不含）</w:t>
            </w:r>
          </w:p>
        </w:tc>
        <w:tc>
          <w:tcPr>
            <w:tcW w:w="1366"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color w:val="3E3E3E"/>
                <w:kern w:val="0"/>
                <w:szCs w:val="21"/>
              </w:rPr>
              <w:t>0.8</w:t>
            </w:r>
          </w:p>
        </w:tc>
      </w:tr>
      <w:tr>
        <w:tblPrEx>
          <w:tblLayout w:type="fixed"/>
        </w:tblPrEx>
        <w:trPr>
          <w:jc w:val="center"/>
        </w:trPr>
        <w:tc>
          <w:tcPr>
            <w:tcW w:w="1366"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color w:val="3E3E3E"/>
                <w:kern w:val="0"/>
                <w:szCs w:val="21"/>
              </w:rPr>
              <w:t>3</w:t>
            </w:r>
          </w:p>
        </w:tc>
        <w:tc>
          <w:tcPr>
            <w:tcW w:w="7318"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color w:val="3E3E3E"/>
                <w:kern w:val="0"/>
                <w:sz w:val="24"/>
                <w:szCs w:val="24"/>
              </w:rPr>
              <w:t>1000-3000万元（不含）</w:t>
            </w:r>
          </w:p>
        </w:tc>
        <w:tc>
          <w:tcPr>
            <w:tcW w:w="1366"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color w:val="3E3E3E"/>
                <w:kern w:val="0"/>
                <w:szCs w:val="21"/>
              </w:rPr>
              <w:t>0.6</w:t>
            </w:r>
          </w:p>
        </w:tc>
      </w:tr>
      <w:tr>
        <w:tblPrEx>
          <w:tblLayout w:type="fixed"/>
          <w:tblCellMar>
            <w:top w:w="0" w:type="dxa"/>
            <w:left w:w="0" w:type="dxa"/>
            <w:bottom w:w="0" w:type="dxa"/>
            <w:right w:w="0" w:type="dxa"/>
          </w:tblCellMar>
        </w:tblPrEx>
        <w:trPr>
          <w:jc w:val="center"/>
        </w:trPr>
        <w:tc>
          <w:tcPr>
            <w:tcW w:w="1366"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color w:val="3E3E3E"/>
                <w:kern w:val="0"/>
                <w:szCs w:val="21"/>
              </w:rPr>
              <w:t>4</w:t>
            </w:r>
          </w:p>
        </w:tc>
        <w:tc>
          <w:tcPr>
            <w:tcW w:w="7318"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color w:val="3E3E3E"/>
                <w:kern w:val="0"/>
                <w:sz w:val="24"/>
                <w:szCs w:val="24"/>
              </w:rPr>
              <w:t>500-1000万元（不含）</w:t>
            </w:r>
          </w:p>
        </w:tc>
        <w:tc>
          <w:tcPr>
            <w:tcW w:w="1366"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color w:val="3E3E3E"/>
                <w:kern w:val="0"/>
                <w:szCs w:val="21"/>
              </w:rPr>
              <w:t>0.4</w:t>
            </w:r>
          </w:p>
        </w:tc>
      </w:tr>
      <w:tr>
        <w:tblPrEx>
          <w:tblLayout w:type="fixed"/>
          <w:tblCellMar>
            <w:top w:w="0" w:type="dxa"/>
            <w:left w:w="0" w:type="dxa"/>
            <w:bottom w:w="0" w:type="dxa"/>
            <w:right w:w="0" w:type="dxa"/>
          </w:tblCellMar>
        </w:tblPrEx>
        <w:trPr>
          <w:jc w:val="center"/>
        </w:trPr>
        <w:tc>
          <w:tcPr>
            <w:tcW w:w="1366"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color w:val="3E3E3E"/>
                <w:kern w:val="0"/>
                <w:szCs w:val="21"/>
              </w:rPr>
              <w:t>5</w:t>
            </w:r>
          </w:p>
        </w:tc>
        <w:tc>
          <w:tcPr>
            <w:tcW w:w="7318"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color w:val="3E3E3E"/>
                <w:kern w:val="0"/>
                <w:sz w:val="24"/>
                <w:szCs w:val="24"/>
              </w:rPr>
              <w:t>500万元以下</w:t>
            </w:r>
          </w:p>
        </w:tc>
        <w:tc>
          <w:tcPr>
            <w:tcW w:w="1366"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color w:val="3E3E3E"/>
                <w:kern w:val="0"/>
                <w:szCs w:val="21"/>
              </w:rPr>
              <w:t>0</w:t>
            </w:r>
          </w:p>
        </w:tc>
      </w:tr>
    </w:tbl>
    <w:p>
      <w:pPr>
        <w:widowControl/>
        <w:shd w:val="clear" w:color="auto" w:fill="FFFFFF"/>
        <w:spacing w:line="420" w:lineRule="exact"/>
        <w:jc w:val="left"/>
        <w:rPr>
          <w:rFonts w:ascii="宋体" w:hAnsi="宋体" w:eastAsia="宋体" w:cs="宋体"/>
          <w:color w:val="3E3E3E"/>
          <w:kern w:val="0"/>
          <w:szCs w:val="21"/>
        </w:rPr>
      </w:pPr>
      <w:r>
        <w:rPr>
          <w:rFonts w:hint="eastAsia" w:ascii="宋体" w:hAnsi="宋体" w:eastAsia="宋体" w:cs="宋体"/>
          <w:color w:val="3E3E3E"/>
          <w:kern w:val="0"/>
          <w:sz w:val="24"/>
          <w:szCs w:val="24"/>
        </w:rPr>
        <w:t>       </w:t>
      </w:r>
    </w:p>
    <w:p>
      <w:pPr>
        <w:widowControl/>
        <w:shd w:val="clear" w:color="auto" w:fill="FFFFFF"/>
        <w:spacing w:line="420" w:lineRule="exact"/>
        <w:jc w:val="left"/>
        <w:rPr>
          <w:rFonts w:ascii="宋体" w:hAnsi="宋体" w:eastAsia="宋体" w:cs="宋体"/>
          <w:color w:val="3E3E3E"/>
          <w:kern w:val="0"/>
          <w:szCs w:val="21"/>
        </w:rPr>
      </w:pPr>
      <w:r>
        <w:rPr>
          <w:rFonts w:hint="eastAsia" w:ascii="宋体" w:hAnsi="宋体" w:eastAsia="宋体" w:cs="宋体"/>
          <w:b/>
          <w:bCs/>
          <w:color w:val="3E3E3E"/>
          <w:kern w:val="0"/>
          <w:sz w:val="24"/>
          <w:szCs w:val="24"/>
        </w:rPr>
        <w:t>    第八条</w:t>
      </w:r>
      <w:r>
        <w:rPr>
          <w:rFonts w:hint="eastAsia" w:ascii="宋体" w:hAnsi="宋体" w:eastAsia="宋体" w:cs="宋体"/>
          <w:color w:val="3E3E3E"/>
          <w:kern w:val="0"/>
          <w:sz w:val="24"/>
          <w:szCs w:val="24"/>
        </w:rPr>
        <w:t>  申报项目核定总投资不高于1000万元的，按照以下标准测算支持额：以行业奖励类支持总金额为基数，以项目核定投资金额、申报单位上一年度净资产、上一年度纳税额、企业成长性和专家打分情况等为权重指标。分别设定项目核定投资金额权重为50%，纳税额权重10%，企业成长性权重20%，专家打分情况权重20%（见表3）。按照近两年企业营业收入增长情况设定中小企业成长性指数（见表4）。</w:t>
      </w:r>
    </w:p>
    <w:p>
      <w:pPr>
        <w:widowControl/>
        <w:shd w:val="clear" w:color="auto" w:fill="FFFFFF"/>
        <w:spacing w:line="420" w:lineRule="exact"/>
        <w:jc w:val="left"/>
        <w:rPr>
          <w:rFonts w:ascii="宋体" w:hAnsi="宋体" w:eastAsia="宋体" w:cs="宋体"/>
          <w:color w:val="3E3E3E"/>
          <w:kern w:val="0"/>
          <w:szCs w:val="21"/>
        </w:rPr>
      </w:pPr>
      <w:r>
        <w:rPr>
          <w:rFonts w:hint="eastAsia" w:ascii="宋体" w:hAnsi="宋体" w:eastAsia="宋体" w:cs="宋体"/>
          <w:color w:val="3E3E3E"/>
          <w:kern w:val="0"/>
          <w:sz w:val="24"/>
          <w:szCs w:val="24"/>
        </w:rPr>
        <w:t> </w:t>
      </w:r>
    </w:p>
    <w:p>
      <w:pPr>
        <w:widowControl/>
        <w:shd w:val="clear" w:color="auto" w:fill="FFFFFF"/>
        <w:spacing w:line="420" w:lineRule="exact"/>
        <w:jc w:val="center"/>
        <w:rPr>
          <w:rFonts w:ascii="宋体" w:hAnsi="宋体" w:eastAsia="宋体" w:cs="宋体"/>
          <w:color w:val="3E3E3E"/>
          <w:kern w:val="0"/>
          <w:szCs w:val="21"/>
        </w:rPr>
      </w:pPr>
      <w:r>
        <w:rPr>
          <w:rFonts w:hint="eastAsia" w:ascii="宋体" w:hAnsi="宋体" w:eastAsia="宋体" w:cs="宋体"/>
          <w:b/>
          <w:bCs/>
          <w:color w:val="3E3E3E"/>
          <w:kern w:val="0"/>
          <w:sz w:val="24"/>
          <w:szCs w:val="24"/>
        </w:rPr>
        <w:t>表3  参考因素及权重</w:t>
      </w:r>
    </w:p>
    <w:tbl>
      <w:tblPr>
        <w:tblStyle w:val="16"/>
        <w:tblW w:w="10050" w:type="dxa"/>
        <w:jc w:val="center"/>
        <w:tblInd w:w="0" w:type="dxa"/>
        <w:shd w:val="clear" w:color="auto" w:fill="FFFFFF"/>
        <w:tblLayout w:type="fixed"/>
        <w:tblCellMar>
          <w:top w:w="0" w:type="dxa"/>
          <w:left w:w="0" w:type="dxa"/>
          <w:bottom w:w="0" w:type="dxa"/>
          <w:right w:w="0" w:type="dxa"/>
        </w:tblCellMar>
      </w:tblPr>
      <w:tblGrid>
        <w:gridCol w:w="1311"/>
        <w:gridCol w:w="7428"/>
        <w:gridCol w:w="1311"/>
      </w:tblGrid>
      <w:tr>
        <w:tblPrEx>
          <w:tblLayout w:type="fixed"/>
          <w:tblCellMar>
            <w:top w:w="0" w:type="dxa"/>
            <w:left w:w="0" w:type="dxa"/>
            <w:bottom w:w="0" w:type="dxa"/>
            <w:right w:w="0" w:type="dxa"/>
          </w:tblCellMar>
        </w:tblPrEx>
        <w:trPr>
          <w:jc w:val="center"/>
        </w:trPr>
        <w:tc>
          <w:tcPr>
            <w:tcW w:w="1311"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b/>
                <w:bCs/>
                <w:color w:val="3E3E3E"/>
                <w:kern w:val="0"/>
                <w:sz w:val="24"/>
                <w:szCs w:val="24"/>
              </w:rPr>
              <w:t>序号</w:t>
            </w:r>
          </w:p>
        </w:tc>
        <w:tc>
          <w:tcPr>
            <w:tcW w:w="7428"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b/>
                <w:bCs/>
                <w:color w:val="3E3E3E"/>
                <w:kern w:val="0"/>
                <w:sz w:val="24"/>
                <w:szCs w:val="24"/>
              </w:rPr>
              <w:t>参考因素</w:t>
            </w:r>
          </w:p>
        </w:tc>
        <w:tc>
          <w:tcPr>
            <w:tcW w:w="1311"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b/>
                <w:bCs/>
                <w:color w:val="3E3E3E"/>
                <w:kern w:val="0"/>
                <w:sz w:val="24"/>
                <w:szCs w:val="24"/>
              </w:rPr>
              <w:t>权重</w:t>
            </w:r>
          </w:p>
        </w:tc>
      </w:tr>
      <w:tr>
        <w:tblPrEx>
          <w:tblLayout w:type="fixed"/>
          <w:tblCellMar>
            <w:top w:w="0" w:type="dxa"/>
            <w:left w:w="0" w:type="dxa"/>
            <w:bottom w:w="0" w:type="dxa"/>
            <w:right w:w="0" w:type="dxa"/>
          </w:tblCellMar>
        </w:tblPrEx>
        <w:trPr>
          <w:jc w:val="center"/>
        </w:trPr>
        <w:tc>
          <w:tcPr>
            <w:tcW w:w="1311"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color w:val="3E3E3E"/>
                <w:kern w:val="0"/>
                <w:szCs w:val="21"/>
              </w:rPr>
              <w:t>1</w:t>
            </w:r>
          </w:p>
        </w:tc>
        <w:tc>
          <w:tcPr>
            <w:tcW w:w="7428"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color w:val="3E3E3E"/>
                <w:kern w:val="0"/>
                <w:sz w:val="24"/>
                <w:szCs w:val="24"/>
              </w:rPr>
              <w:t>项目核定总投资金额（A）</w:t>
            </w:r>
          </w:p>
        </w:tc>
        <w:tc>
          <w:tcPr>
            <w:tcW w:w="1311"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color w:val="3E3E3E"/>
                <w:kern w:val="0"/>
                <w:szCs w:val="21"/>
              </w:rPr>
              <w:t>0.5</w:t>
            </w:r>
          </w:p>
        </w:tc>
      </w:tr>
      <w:tr>
        <w:tblPrEx>
          <w:tblLayout w:type="fixed"/>
          <w:tblCellMar>
            <w:top w:w="0" w:type="dxa"/>
            <w:left w:w="0" w:type="dxa"/>
            <w:bottom w:w="0" w:type="dxa"/>
            <w:right w:w="0" w:type="dxa"/>
          </w:tblCellMar>
        </w:tblPrEx>
        <w:trPr>
          <w:jc w:val="center"/>
        </w:trPr>
        <w:tc>
          <w:tcPr>
            <w:tcW w:w="1311"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color w:val="3E3E3E"/>
                <w:kern w:val="0"/>
                <w:szCs w:val="21"/>
              </w:rPr>
              <w:t>2</w:t>
            </w:r>
          </w:p>
        </w:tc>
        <w:tc>
          <w:tcPr>
            <w:tcW w:w="7428"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color w:val="3E3E3E"/>
                <w:kern w:val="0"/>
                <w:sz w:val="24"/>
                <w:szCs w:val="24"/>
              </w:rPr>
              <w:t>上一年度纳税额（C）</w:t>
            </w:r>
          </w:p>
        </w:tc>
        <w:tc>
          <w:tcPr>
            <w:tcW w:w="1311"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color w:val="3E3E3E"/>
                <w:kern w:val="0"/>
                <w:szCs w:val="21"/>
              </w:rPr>
              <w:t>0.1</w:t>
            </w:r>
          </w:p>
        </w:tc>
      </w:tr>
      <w:tr>
        <w:tblPrEx>
          <w:tblLayout w:type="fixed"/>
        </w:tblPrEx>
        <w:trPr>
          <w:jc w:val="center"/>
        </w:trPr>
        <w:tc>
          <w:tcPr>
            <w:tcW w:w="1311"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color w:val="3E3E3E"/>
                <w:kern w:val="0"/>
                <w:szCs w:val="21"/>
              </w:rPr>
              <w:t>3</w:t>
            </w:r>
          </w:p>
        </w:tc>
        <w:tc>
          <w:tcPr>
            <w:tcW w:w="7428"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color w:val="3E3E3E"/>
                <w:kern w:val="0"/>
                <w:sz w:val="24"/>
                <w:szCs w:val="24"/>
              </w:rPr>
              <w:t>成长性指数（D）</w:t>
            </w:r>
          </w:p>
        </w:tc>
        <w:tc>
          <w:tcPr>
            <w:tcW w:w="1311"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color w:val="3E3E3E"/>
                <w:kern w:val="0"/>
                <w:szCs w:val="21"/>
              </w:rPr>
              <w:t>0.2</w:t>
            </w:r>
          </w:p>
        </w:tc>
      </w:tr>
      <w:tr>
        <w:tblPrEx>
          <w:tblLayout w:type="fixed"/>
          <w:tblCellMar>
            <w:top w:w="0" w:type="dxa"/>
            <w:left w:w="0" w:type="dxa"/>
            <w:bottom w:w="0" w:type="dxa"/>
            <w:right w:w="0" w:type="dxa"/>
          </w:tblCellMar>
        </w:tblPrEx>
        <w:trPr>
          <w:jc w:val="center"/>
        </w:trPr>
        <w:tc>
          <w:tcPr>
            <w:tcW w:w="1311"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color w:val="3E3E3E"/>
                <w:kern w:val="0"/>
                <w:szCs w:val="21"/>
              </w:rPr>
              <w:t>4</w:t>
            </w:r>
          </w:p>
        </w:tc>
        <w:tc>
          <w:tcPr>
            <w:tcW w:w="7428"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color w:val="3E3E3E"/>
                <w:kern w:val="0"/>
                <w:sz w:val="24"/>
                <w:szCs w:val="24"/>
              </w:rPr>
              <w:t>专家打分情况（E）</w:t>
            </w:r>
          </w:p>
        </w:tc>
        <w:tc>
          <w:tcPr>
            <w:tcW w:w="1311"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Cs w:val="21"/>
              </w:rPr>
            </w:pPr>
            <w:r>
              <w:rPr>
                <w:rFonts w:ascii="Helvetica Neue" w:hAnsi="Helvetica Neue" w:eastAsia="宋体" w:cs="宋体"/>
                <w:color w:val="3E3E3E"/>
                <w:kern w:val="0"/>
                <w:szCs w:val="21"/>
              </w:rPr>
              <w:t>0.2</w:t>
            </w:r>
          </w:p>
        </w:tc>
      </w:tr>
    </w:tbl>
    <w:p>
      <w:pPr>
        <w:widowControl/>
        <w:shd w:val="clear" w:color="auto" w:fill="FFFFFF"/>
        <w:spacing w:line="420" w:lineRule="exact"/>
        <w:jc w:val="left"/>
        <w:rPr>
          <w:rFonts w:ascii="宋体" w:hAnsi="宋体" w:eastAsia="宋体" w:cs="宋体"/>
          <w:color w:val="3E3E3E"/>
          <w:kern w:val="0"/>
          <w:szCs w:val="21"/>
        </w:rPr>
      </w:pPr>
      <w:r>
        <w:rPr>
          <w:rFonts w:hint="eastAsia" w:ascii="宋体" w:hAnsi="宋体" w:eastAsia="宋体" w:cs="宋体"/>
          <w:color w:val="3E3E3E"/>
          <w:kern w:val="0"/>
          <w:sz w:val="24"/>
          <w:szCs w:val="24"/>
        </w:rPr>
        <w:t>       </w:t>
      </w:r>
    </w:p>
    <w:p>
      <w:pPr>
        <w:widowControl/>
        <w:shd w:val="clear" w:color="auto" w:fill="FFFFFF"/>
        <w:spacing w:line="420" w:lineRule="exact"/>
        <w:jc w:val="left"/>
        <w:rPr>
          <w:rFonts w:ascii="宋体" w:hAnsi="宋体" w:eastAsia="宋体" w:cs="宋体"/>
          <w:color w:val="3E3E3E"/>
          <w:kern w:val="0"/>
          <w:szCs w:val="21"/>
        </w:rPr>
      </w:pPr>
      <w:r>
        <w:rPr>
          <w:rFonts w:hint="eastAsia" w:ascii="宋体" w:hAnsi="宋体" w:eastAsia="宋体" w:cs="宋体"/>
          <w:color w:val="3E3E3E"/>
          <w:kern w:val="0"/>
          <w:sz w:val="24"/>
          <w:szCs w:val="24"/>
        </w:rPr>
        <w:t>    行业内每个项目支持额度可按照如下公式计算：</w:t>
      </w:r>
    </w:p>
    <w:p>
      <w:pPr>
        <w:widowControl/>
        <w:shd w:val="clear" w:color="auto" w:fill="FFFFFF"/>
        <w:spacing w:line="420" w:lineRule="exact"/>
        <w:jc w:val="left"/>
        <w:rPr>
          <w:rFonts w:ascii="宋体" w:hAnsi="宋体" w:eastAsia="宋体" w:cs="宋体"/>
          <w:color w:val="3E3E3E"/>
          <w:kern w:val="0"/>
          <w:szCs w:val="21"/>
        </w:rPr>
      </w:pPr>
      <w:r>
        <w:rPr>
          <w:rFonts w:hint="eastAsia" w:ascii="宋体" w:hAnsi="宋体" w:eastAsia="宋体" w:cs="宋体"/>
          <w:color w:val="3E3E3E"/>
          <w:kern w:val="0"/>
          <w:sz w:val="24"/>
          <w:szCs w:val="24"/>
        </w:rPr>
        <w:t>    奖励资金额度</w:t>
      </w:r>
      <w:r>
        <w:rPr>
          <w:rFonts w:hint="eastAsia" w:ascii="宋体" w:hAnsi="宋体" w:eastAsia="宋体" w:cs="宋体"/>
          <w:b/>
          <w:bCs/>
          <w:color w:val="3E3E3E"/>
          <w:kern w:val="0"/>
          <w:sz w:val="24"/>
          <w:szCs w:val="24"/>
        </w:rPr>
        <w:t>=</w:t>
      </w:r>
    </w:p>
    <w:p>
      <w:pPr>
        <w:widowControl/>
        <w:shd w:val="clear" w:color="auto" w:fill="FFFFFF"/>
        <w:spacing w:line="420" w:lineRule="exact"/>
        <w:jc w:val="left"/>
        <w:rPr>
          <w:rFonts w:ascii="宋体" w:hAnsi="宋体" w:eastAsia="宋体" w:cs="宋体"/>
          <w:color w:val="3E3E3E"/>
          <w:kern w:val="0"/>
          <w:szCs w:val="21"/>
        </w:rPr>
      </w:pPr>
      <w:r>
        <w:rPr>
          <w:rFonts w:hint="eastAsia" w:ascii="宋体" w:hAnsi="宋体" w:eastAsia="宋体" w:cs="宋体"/>
          <w:color w:val="3E3E3E"/>
          <w:kern w:val="0"/>
          <w:sz w:val="24"/>
          <w:szCs w:val="24"/>
        </w:rPr>
        <w:t>    其中，S为本行业奖励类拟支持资金总额； </w:t>
      </w:r>
      <w:r>
        <w:rPr>
          <w:rFonts w:hint="eastAsia" w:ascii="宋体" w:hAnsi="宋体" w:eastAsia="宋体" w:cs="宋体"/>
          <w:b/>
          <w:bCs/>
          <w:color w:val="3E3E3E"/>
          <w:kern w:val="0"/>
          <w:sz w:val="24"/>
          <w:szCs w:val="24"/>
        </w:rPr>
        <w:t>A</w:t>
      </w:r>
      <w:r>
        <w:rPr>
          <w:rFonts w:hint="eastAsia" w:ascii="宋体" w:hAnsi="宋体" w:eastAsia="宋体" w:cs="宋体"/>
          <w:b/>
          <w:bCs/>
          <w:color w:val="3E3E3E"/>
          <w:kern w:val="0"/>
          <w:sz w:val="24"/>
          <w:szCs w:val="24"/>
          <w:vertAlign w:val="subscript"/>
        </w:rPr>
        <w:t>i</w:t>
      </w:r>
      <w:r>
        <w:rPr>
          <w:rFonts w:hint="eastAsia" w:ascii="宋体" w:hAnsi="宋体" w:eastAsia="宋体" w:cs="宋体"/>
          <w:color w:val="3E3E3E"/>
          <w:kern w:val="0"/>
          <w:sz w:val="24"/>
          <w:szCs w:val="24"/>
        </w:rPr>
        <w:t>为某个项目核定总投资金额，∑A为行业内全部（奖励类）项目核定总投资金额的汇总值； </w:t>
      </w:r>
      <w:r>
        <w:rPr>
          <w:rFonts w:hint="eastAsia" w:ascii="宋体" w:hAnsi="宋体" w:eastAsia="宋体" w:cs="宋体"/>
          <w:b/>
          <w:bCs/>
          <w:color w:val="3E3E3E"/>
          <w:kern w:val="0"/>
          <w:sz w:val="24"/>
          <w:szCs w:val="24"/>
        </w:rPr>
        <w:t>C</w:t>
      </w:r>
      <w:r>
        <w:rPr>
          <w:rFonts w:hint="eastAsia" w:ascii="宋体" w:hAnsi="宋体" w:eastAsia="宋体" w:cs="宋体"/>
          <w:b/>
          <w:bCs/>
          <w:color w:val="3E3E3E"/>
          <w:kern w:val="0"/>
          <w:sz w:val="24"/>
          <w:szCs w:val="24"/>
          <w:vertAlign w:val="subscript"/>
        </w:rPr>
        <w:t>i</w:t>
      </w:r>
      <w:r>
        <w:rPr>
          <w:rFonts w:hint="eastAsia" w:ascii="宋体" w:hAnsi="宋体" w:eastAsia="宋体" w:cs="宋体"/>
          <w:color w:val="3E3E3E"/>
          <w:kern w:val="0"/>
          <w:sz w:val="24"/>
          <w:szCs w:val="24"/>
        </w:rPr>
        <w:t>为某个项目单位上一年度的纳税额，∑C为行业内全部（奖励类）项目单位上一年度纳税额的汇总值；</w:t>
      </w:r>
      <w:r>
        <w:rPr>
          <w:rFonts w:hint="eastAsia" w:ascii="宋体" w:hAnsi="宋体" w:eastAsia="宋体" w:cs="宋体"/>
          <w:b/>
          <w:bCs/>
          <w:color w:val="3E3E3E"/>
          <w:kern w:val="0"/>
          <w:sz w:val="24"/>
          <w:szCs w:val="24"/>
        </w:rPr>
        <w:t> D</w:t>
      </w:r>
      <w:r>
        <w:rPr>
          <w:rFonts w:hint="eastAsia" w:ascii="宋体" w:hAnsi="宋体" w:eastAsia="宋体" w:cs="宋体"/>
          <w:b/>
          <w:bCs/>
          <w:color w:val="3E3E3E"/>
          <w:kern w:val="0"/>
          <w:sz w:val="24"/>
          <w:szCs w:val="24"/>
          <w:vertAlign w:val="subscript"/>
        </w:rPr>
        <w:t>i</w:t>
      </w:r>
      <w:r>
        <w:rPr>
          <w:rFonts w:hint="eastAsia" w:ascii="宋体" w:hAnsi="宋体" w:eastAsia="宋体" w:cs="宋体"/>
          <w:color w:val="3E3E3E"/>
          <w:kern w:val="0"/>
          <w:sz w:val="24"/>
          <w:szCs w:val="24"/>
        </w:rPr>
        <w:t>为某个申报企业成长性指数；∑D 为行业内所有（奖励类）项目的企业成长性指数总和； </w:t>
      </w:r>
      <w:r>
        <w:rPr>
          <w:rFonts w:hint="eastAsia" w:ascii="宋体" w:hAnsi="宋体" w:eastAsia="宋体" w:cs="宋体"/>
          <w:b/>
          <w:bCs/>
          <w:color w:val="3E3E3E"/>
          <w:kern w:val="0"/>
          <w:sz w:val="24"/>
          <w:szCs w:val="24"/>
        </w:rPr>
        <w:t>E</w:t>
      </w:r>
      <w:r>
        <w:rPr>
          <w:rFonts w:hint="eastAsia" w:ascii="宋体" w:hAnsi="宋体" w:eastAsia="宋体" w:cs="宋体"/>
          <w:b/>
          <w:bCs/>
          <w:color w:val="3E3E3E"/>
          <w:kern w:val="0"/>
          <w:sz w:val="24"/>
          <w:szCs w:val="24"/>
          <w:vertAlign w:val="subscript"/>
        </w:rPr>
        <w:t>i</w:t>
      </w:r>
      <w:r>
        <w:rPr>
          <w:rFonts w:hint="eastAsia" w:ascii="宋体" w:hAnsi="宋体" w:eastAsia="宋体" w:cs="宋体"/>
          <w:color w:val="3E3E3E"/>
          <w:kern w:val="0"/>
          <w:sz w:val="24"/>
          <w:szCs w:val="24"/>
        </w:rPr>
        <w:t>为某个项目专家评分，∑E为某个行业所有（奖励类）项目的专家评分总和。</w:t>
      </w:r>
    </w:p>
    <w:p>
      <w:pPr>
        <w:widowControl/>
        <w:shd w:val="clear" w:color="auto" w:fill="FFFFFF"/>
        <w:spacing w:line="420" w:lineRule="exact"/>
        <w:jc w:val="left"/>
        <w:rPr>
          <w:rFonts w:ascii="宋体" w:hAnsi="宋体" w:eastAsia="宋体" w:cs="宋体"/>
          <w:color w:val="3E3E3E"/>
          <w:kern w:val="0"/>
          <w:szCs w:val="21"/>
        </w:rPr>
      </w:pPr>
      <w:r>
        <w:rPr>
          <w:rFonts w:hint="eastAsia" w:ascii="宋体" w:hAnsi="宋体" w:eastAsia="宋体" w:cs="宋体"/>
          <w:color w:val="3E3E3E"/>
          <w:kern w:val="0"/>
          <w:sz w:val="24"/>
          <w:szCs w:val="24"/>
        </w:rPr>
        <w:t> </w:t>
      </w:r>
    </w:p>
    <w:p>
      <w:pPr>
        <w:widowControl/>
        <w:shd w:val="clear" w:color="auto" w:fill="FFFFFF"/>
        <w:spacing w:line="420" w:lineRule="exact"/>
        <w:jc w:val="center"/>
        <w:rPr>
          <w:rFonts w:ascii="宋体" w:hAnsi="宋体" w:eastAsia="宋体" w:cs="宋体"/>
          <w:color w:val="3E3E3E"/>
          <w:kern w:val="0"/>
          <w:szCs w:val="21"/>
        </w:rPr>
      </w:pPr>
      <w:r>
        <w:rPr>
          <w:rFonts w:hint="eastAsia" w:ascii="宋体" w:hAnsi="宋体" w:eastAsia="宋体" w:cs="宋体"/>
          <w:b/>
          <w:bCs/>
          <w:color w:val="3E3E3E"/>
          <w:kern w:val="0"/>
          <w:sz w:val="24"/>
          <w:szCs w:val="24"/>
        </w:rPr>
        <w:t>表4  中小企业成长性指数表</w:t>
      </w:r>
    </w:p>
    <w:tbl>
      <w:tblPr>
        <w:tblStyle w:val="16"/>
        <w:tblW w:w="10050" w:type="dxa"/>
        <w:tblInd w:w="0" w:type="dxa"/>
        <w:shd w:val="clear" w:color="auto" w:fill="FFFFFF"/>
        <w:tblLayout w:type="fixed"/>
        <w:tblCellMar>
          <w:top w:w="0" w:type="dxa"/>
          <w:left w:w="0" w:type="dxa"/>
          <w:bottom w:w="0" w:type="dxa"/>
          <w:right w:w="0" w:type="dxa"/>
        </w:tblCellMar>
      </w:tblPr>
      <w:tblGrid>
        <w:gridCol w:w="2191"/>
        <w:gridCol w:w="4781"/>
        <w:gridCol w:w="3078"/>
      </w:tblGrid>
      <w:tr>
        <w:tblPrEx>
          <w:tblLayout w:type="fixed"/>
          <w:tblCellMar>
            <w:top w:w="0" w:type="dxa"/>
            <w:left w:w="0" w:type="dxa"/>
            <w:bottom w:w="0" w:type="dxa"/>
            <w:right w:w="0" w:type="dxa"/>
          </w:tblCellMar>
        </w:tblPrEx>
        <w:trPr>
          <w:trHeight w:val="1290" w:hRule="atLeast"/>
        </w:trPr>
        <w:tc>
          <w:tcPr>
            <w:tcW w:w="2191" w:type="dxa"/>
            <w:tcBorders>
              <w:top w:val="single" w:color="DDDDDD" w:sz="6" w:space="0"/>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 w:val="23"/>
                <w:szCs w:val="23"/>
              </w:rPr>
            </w:pPr>
            <w:r>
              <w:rPr>
                <w:rFonts w:hint="eastAsia" w:ascii="宋体" w:hAnsi="宋体" w:eastAsia="宋体" w:cs="宋体"/>
                <w:b/>
                <w:bCs/>
                <w:color w:val="3E3E3E"/>
                <w:kern w:val="0"/>
                <w:sz w:val="24"/>
                <w:szCs w:val="24"/>
              </w:rPr>
              <w:t>序号</w:t>
            </w:r>
          </w:p>
        </w:tc>
        <w:tc>
          <w:tcPr>
            <w:tcW w:w="4781" w:type="dxa"/>
            <w:tcBorders>
              <w:top w:val="single" w:color="DDDDDD" w:sz="6" w:space="0"/>
              <w:left w:val="nil"/>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 w:val="23"/>
                <w:szCs w:val="23"/>
              </w:rPr>
            </w:pPr>
            <w:r>
              <w:rPr>
                <w:rFonts w:hint="eastAsia" w:ascii="宋体" w:hAnsi="宋体" w:eastAsia="宋体" w:cs="宋体"/>
                <w:b/>
                <w:bCs/>
                <w:color w:val="3E3E3E"/>
                <w:kern w:val="0"/>
                <w:sz w:val="24"/>
                <w:szCs w:val="24"/>
              </w:rPr>
              <w:t>企业成长性（近两年企业</w:t>
            </w:r>
          </w:p>
          <w:p>
            <w:pPr>
              <w:widowControl/>
              <w:spacing w:line="420" w:lineRule="exact"/>
              <w:jc w:val="center"/>
              <w:rPr>
                <w:rFonts w:ascii="Helvetica Neue" w:hAnsi="Helvetica Neue" w:eastAsia="宋体" w:cs="宋体"/>
                <w:color w:val="3E3E3E"/>
                <w:kern w:val="0"/>
                <w:sz w:val="23"/>
                <w:szCs w:val="23"/>
              </w:rPr>
            </w:pPr>
            <w:r>
              <w:rPr>
                <w:rFonts w:hint="eastAsia" w:ascii="宋体" w:hAnsi="宋体" w:eastAsia="宋体" w:cs="宋体"/>
                <w:b/>
                <w:bCs/>
                <w:color w:val="3E3E3E"/>
                <w:kern w:val="0"/>
                <w:sz w:val="24"/>
                <w:szCs w:val="24"/>
              </w:rPr>
              <w:t>营业收入增长情况）</w:t>
            </w:r>
          </w:p>
        </w:tc>
        <w:tc>
          <w:tcPr>
            <w:tcW w:w="3078" w:type="dxa"/>
            <w:tcBorders>
              <w:top w:val="single" w:color="DDDDDD" w:sz="6" w:space="0"/>
              <w:left w:val="nil"/>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 w:val="23"/>
                <w:szCs w:val="23"/>
              </w:rPr>
            </w:pPr>
            <w:r>
              <w:rPr>
                <w:rFonts w:hint="eastAsia" w:ascii="宋体" w:hAnsi="宋体" w:eastAsia="宋体" w:cs="宋体"/>
                <w:b/>
                <w:bCs/>
                <w:color w:val="3E3E3E"/>
                <w:kern w:val="0"/>
                <w:sz w:val="24"/>
                <w:szCs w:val="24"/>
              </w:rPr>
              <w:t>指数</w:t>
            </w:r>
          </w:p>
        </w:tc>
      </w:tr>
      <w:tr>
        <w:tblPrEx>
          <w:tblLayout w:type="fixed"/>
          <w:tblCellMar>
            <w:top w:w="0" w:type="dxa"/>
            <w:left w:w="0" w:type="dxa"/>
            <w:bottom w:w="0" w:type="dxa"/>
            <w:right w:w="0" w:type="dxa"/>
          </w:tblCellMar>
        </w:tblPrEx>
        <w:trPr>
          <w:trHeight w:val="630" w:hRule="atLeast"/>
        </w:trPr>
        <w:tc>
          <w:tcPr>
            <w:tcW w:w="2191" w:type="dxa"/>
            <w:tcBorders>
              <w:top w:val="nil"/>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 w:val="23"/>
                <w:szCs w:val="23"/>
              </w:rPr>
            </w:pPr>
            <w:r>
              <w:rPr>
                <w:rFonts w:ascii="Helvetica" w:hAnsi="Helvetica" w:eastAsia="宋体" w:cs="宋体"/>
                <w:color w:val="3E3E3E"/>
                <w:kern w:val="0"/>
                <w:sz w:val="24"/>
                <w:szCs w:val="24"/>
              </w:rPr>
              <w:t>1</w:t>
            </w:r>
          </w:p>
        </w:tc>
        <w:tc>
          <w:tcPr>
            <w:tcW w:w="4781" w:type="dxa"/>
            <w:tcBorders>
              <w:top w:val="nil"/>
              <w:left w:val="nil"/>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 w:val="23"/>
                <w:szCs w:val="23"/>
              </w:rPr>
            </w:pPr>
            <w:r>
              <w:rPr>
                <w:rFonts w:ascii="Helvetica" w:hAnsi="Helvetica" w:eastAsia="宋体" w:cs="宋体"/>
                <w:color w:val="3E3E3E"/>
                <w:kern w:val="0"/>
                <w:sz w:val="24"/>
                <w:szCs w:val="24"/>
              </w:rPr>
              <w:t>80%</w:t>
            </w:r>
            <w:r>
              <w:rPr>
                <w:rFonts w:hint="eastAsia" w:ascii="宋体" w:hAnsi="宋体" w:eastAsia="宋体" w:cs="宋体"/>
                <w:color w:val="3E3E3E"/>
                <w:kern w:val="0"/>
                <w:sz w:val="24"/>
                <w:szCs w:val="24"/>
              </w:rPr>
              <w:t>及以上</w:t>
            </w:r>
          </w:p>
        </w:tc>
        <w:tc>
          <w:tcPr>
            <w:tcW w:w="3078" w:type="dxa"/>
            <w:tcBorders>
              <w:top w:val="nil"/>
              <w:left w:val="nil"/>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 w:val="23"/>
                <w:szCs w:val="23"/>
              </w:rPr>
            </w:pPr>
            <w:r>
              <w:rPr>
                <w:rFonts w:ascii="Helvetica" w:hAnsi="Helvetica" w:eastAsia="宋体" w:cs="宋体"/>
                <w:color w:val="3E3E3E"/>
                <w:kern w:val="0"/>
                <w:sz w:val="24"/>
                <w:szCs w:val="24"/>
              </w:rPr>
              <w:t>1</w:t>
            </w:r>
          </w:p>
        </w:tc>
      </w:tr>
      <w:tr>
        <w:tblPrEx>
          <w:tblLayout w:type="fixed"/>
          <w:tblCellMar>
            <w:top w:w="0" w:type="dxa"/>
            <w:left w:w="0" w:type="dxa"/>
            <w:bottom w:w="0" w:type="dxa"/>
            <w:right w:w="0" w:type="dxa"/>
          </w:tblCellMar>
        </w:tblPrEx>
        <w:trPr>
          <w:trHeight w:val="555" w:hRule="atLeast"/>
        </w:trPr>
        <w:tc>
          <w:tcPr>
            <w:tcW w:w="2191" w:type="dxa"/>
            <w:tcBorders>
              <w:top w:val="nil"/>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 w:val="23"/>
                <w:szCs w:val="23"/>
              </w:rPr>
            </w:pPr>
            <w:r>
              <w:rPr>
                <w:rFonts w:ascii="Helvetica" w:hAnsi="Helvetica" w:eastAsia="宋体" w:cs="宋体"/>
                <w:color w:val="3E3E3E"/>
                <w:kern w:val="0"/>
                <w:sz w:val="24"/>
                <w:szCs w:val="24"/>
              </w:rPr>
              <w:t>2</w:t>
            </w:r>
          </w:p>
        </w:tc>
        <w:tc>
          <w:tcPr>
            <w:tcW w:w="4781" w:type="dxa"/>
            <w:tcBorders>
              <w:top w:val="nil"/>
              <w:left w:val="nil"/>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 w:val="23"/>
                <w:szCs w:val="23"/>
              </w:rPr>
            </w:pPr>
            <w:r>
              <w:rPr>
                <w:rFonts w:ascii="Helvetica" w:hAnsi="Helvetica" w:eastAsia="宋体" w:cs="宋体"/>
                <w:color w:val="3E3E3E"/>
                <w:kern w:val="0"/>
                <w:sz w:val="24"/>
                <w:szCs w:val="24"/>
              </w:rPr>
              <w:t>50%-80%</w:t>
            </w:r>
            <w:r>
              <w:rPr>
                <w:rFonts w:hint="eastAsia" w:ascii="宋体" w:hAnsi="宋体" w:eastAsia="宋体" w:cs="宋体"/>
                <w:color w:val="3E3E3E"/>
                <w:kern w:val="0"/>
                <w:sz w:val="24"/>
                <w:szCs w:val="24"/>
              </w:rPr>
              <w:t>（不含）</w:t>
            </w:r>
          </w:p>
        </w:tc>
        <w:tc>
          <w:tcPr>
            <w:tcW w:w="3078" w:type="dxa"/>
            <w:tcBorders>
              <w:top w:val="nil"/>
              <w:left w:val="nil"/>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 w:val="23"/>
                <w:szCs w:val="23"/>
              </w:rPr>
            </w:pPr>
            <w:r>
              <w:rPr>
                <w:rFonts w:ascii="Helvetica" w:hAnsi="Helvetica" w:eastAsia="宋体" w:cs="宋体"/>
                <w:color w:val="3E3E3E"/>
                <w:kern w:val="0"/>
                <w:sz w:val="24"/>
                <w:szCs w:val="24"/>
              </w:rPr>
              <w:t>0.8</w:t>
            </w:r>
          </w:p>
        </w:tc>
      </w:tr>
      <w:tr>
        <w:tblPrEx>
          <w:tblLayout w:type="fixed"/>
          <w:tblCellMar>
            <w:top w:w="0" w:type="dxa"/>
            <w:left w:w="0" w:type="dxa"/>
            <w:bottom w:w="0" w:type="dxa"/>
            <w:right w:w="0" w:type="dxa"/>
          </w:tblCellMar>
        </w:tblPrEx>
        <w:trPr>
          <w:trHeight w:val="570" w:hRule="atLeast"/>
        </w:trPr>
        <w:tc>
          <w:tcPr>
            <w:tcW w:w="2191" w:type="dxa"/>
            <w:tcBorders>
              <w:top w:val="nil"/>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 w:val="23"/>
                <w:szCs w:val="23"/>
              </w:rPr>
            </w:pPr>
            <w:r>
              <w:rPr>
                <w:rFonts w:ascii="Helvetica" w:hAnsi="Helvetica" w:eastAsia="宋体" w:cs="宋体"/>
                <w:color w:val="3E3E3E"/>
                <w:kern w:val="0"/>
                <w:sz w:val="24"/>
                <w:szCs w:val="24"/>
              </w:rPr>
              <w:t>3</w:t>
            </w:r>
          </w:p>
        </w:tc>
        <w:tc>
          <w:tcPr>
            <w:tcW w:w="4781" w:type="dxa"/>
            <w:tcBorders>
              <w:top w:val="nil"/>
              <w:left w:val="nil"/>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 w:val="23"/>
                <w:szCs w:val="23"/>
              </w:rPr>
            </w:pPr>
            <w:r>
              <w:rPr>
                <w:rFonts w:ascii="Helvetica" w:hAnsi="Helvetica" w:eastAsia="宋体" w:cs="宋体"/>
                <w:color w:val="3E3E3E"/>
                <w:kern w:val="0"/>
                <w:sz w:val="24"/>
                <w:szCs w:val="24"/>
              </w:rPr>
              <w:t>30%-50%</w:t>
            </w:r>
            <w:r>
              <w:rPr>
                <w:rFonts w:hint="eastAsia" w:ascii="宋体" w:hAnsi="宋体" w:eastAsia="宋体" w:cs="宋体"/>
                <w:color w:val="3E3E3E"/>
                <w:kern w:val="0"/>
                <w:sz w:val="24"/>
                <w:szCs w:val="24"/>
              </w:rPr>
              <w:t>（不含）</w:t>
            </w:r>
          </w:p>
        </w:tc>
        <w:tc>
          <w:tcPr>
            <w:tcW w:w="3078" w:type="dxa"/>
            <w:tcBorders>
              <w:top w:val="nil"/>
              <w:left w:val="nil"/>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 w:val="23"/>
                <w:szCs w:val="23"/>
              </w:rPr>
            </w:pPr>
            <w:r>
              <w:rPr>
                <w:rFonts w:ascii="Helvetica" w:hAnsi="Helvetica" w:eastAsia="宋体" w:cs="宋体"/>
                <w:color w:val="3E3E3E"/>
                <w:kern w:val="0"/>
                <w:sz w:val="24"/>
                <w:szCs w:val="24"/>
              </w:rPr>
              <w:t>0.6</w:t>
            </w:r>
          </w:p>
        </w:tc>
      </w:tr>
      <w:tr>
        <w:tblPrEx>
          <w:tblLayout w:type="fixed"/>
          <w:tblCellMar>
            <w:top w:w="0" w:type="dxa"/>
            <w:left w:w="0" w:type="dxa"/>
            <w:bottom w:w="0" w:type="dxa"/>
            <w:right w:w="0" w:type="dxa"/>
          </w:tblCellMar>
        </w:tblPrEx>
        <w:trPr>
          <w:trHeight w:val="705" w:hRule="atLeast"/>
        </w:trPr>
        <w:tc>
          <w:tcPr>
            <w:tcW w:w="2191" w:type="dxa"/>
            <w:tcBorders>
              <w:top w:val="nil"/>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 w:val="23"/>
                <w:szCs w:val="23"/>
              </w:rPr>
            </w:pPr>
            <w:r>
              <w:rPr>
                <w:rFonts w:ascii="Helvetica" w:hAnsi="Helvetica" w:eastAsia="宋体" w:cs="宋体"/>
                <w:color w:val="3E3E3E"/>
                <w:kern w:val="0"/>
                <w:sz w:val="24"/>
                <w:szCs w:val="24"/>
              </w:rPr>
              <w:t>4</w:t>
            </w:r>
          </w:p>
        </w:tc>
        <w:tc>
          <w:tcPr>
            <w:tcW w:w="4781" w:type="dxa"/>
            <w:tcBorders>
              <w:top w:val="nil"/>
              <w:left w:val="nil"/>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 w:val="23"/>
                <w:szCs w:val="23"/>
              </w:rPr>
            </w:pPr>
            <w:r>
              <w:rPr>
                <w:rFonts w:ascii="Helvetica" w:hAnsi="Helvetica" w:eastAsia="宋体" w:cs="宋体"/>
                <w:color w:val="3E3E3E"/>
                <w:kern w:val="0"/>
                <w:sz w:val="24"/>
                <w:szCs w:val="24"/>
              </w:rPr>
              <w:t>10%-30%</w:t>
            </w:r>
            <w:r>
              <w:rPr>
                <w:rFonts w:hint="eastAsia" w:ascii="宋体" w:hAnsi="宋体" w:eastAsia="宋体" w:cs="宋体"/>
                <w:color w:val="3E3E3E"/>
                <w:kern w:val="0"/>
                <w:sz w:val="24"/>
                <w:szCs w:val="24"/>
              </w:rPr>
              <w:t>（不含）</w:t>
            </w:r>
          </w:p>
        </w:tc>
        <w:tc>
          <w:tcPr>
            <w:tcW w:w="3078" w:type="dxa"/>
            <w:tcBorders>
              <w:top w:val="nil"/>
              <w:left w:val="nil"/>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 w:val="23"/>
                <w:szCs w:val="23"/>
              </w:rPr>
            </w:pPr>
            <w:r>
              <w:rPr>
                <w:rFonts w:ascii="Helvetica" w:hAnsi="Helvetica" w:eastAsia="宋体" w:cs="宋体"/>
                <w:color w:val="3E3E3E"/>
                <w:kern w:val="0"/>
                <w:sz w:val="24"/>
                <w:szCs w:val="24"/>
              </w:rPr>
              <w:t>0.4</w:t>
            </w:r>
          </w:p>
        </w:tc>
      </w:tr>
      <w:tr>
        <w:tblPrEx>
          <w:tblLayout w:type="fixed"/>
        </w:tblPrEx>
        <w:trPr>
          <w:trHeight w:val="615" w:hRule="atLeast"/>
        </w:trPr>
        <w:tc>
          <w:tcPr>
            <w:tcW w:w="2191" w:type="dxa"/>
            <w:tcBorders>
              <w:top w:val="nil"/>
              <w:left w:val="single" w:color="DDDDDD" w:sz="6" w:space="0"/>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 w:val="23"/>
                <w:szCs w:val="23"/>
              </w:rPr>
            </w:pPr>
            <w:r>
              <w:rPr>
                <w:rFonts w:ascii="Helvetica" w:hAnsi="Helvetica" w:eastAsia="宋体" w:cs="宋体"/>
                <w:color w:val="3E3E3E"/>
                <w:kern w:val="0"/>
                <w:sz w:val="24"/>
                <w:szCs w:val="24"/>
              </w:rPr>
              <w:t>5</w:t>
            </w:r>
          </w:p>
        </w:tc>
        <w:tc>
          <w:tcPr>
            <w:tcW w:w="4781" w:type="dxa"/>
            <w:tcBorders>
              <w:top w:val="nil"/>
              <w:left w:val="nil"/>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 w:val="23"/>
                <w:szCs w:val="23"/>
              </w:rPr>
            </w:pPr>
            <w:r>
              <w:rPr>
                <w:rFonts w:ascii="Helvetica" w:hAnsi="Helvetica" w:eastAsia="宋体" w:cs="宋体"/>
                <w:color w:val="3E3E3E"/>
                <w:kern w:val="0"/>
                <w:sz w:val="24"/>
                <w:szCs w:val="24"/>
              </w:rPr>
              <w:t>10%</w:t>
            </w:r>
            <w:r>
              <w:rPr>
                <w:rFonts w:hint="eastAsia" w:ascii="宋体" w:hAnsi="宋体" w:eastAsia="宋体" w:cs="宋体"/>
                <w:color w:val="3E3E3E"/>
                <w:kern w:val="0"/>
                <w:sz w:val="24"/>
                <w:szCs w:val="24"/>
              </w:rPr>
              <w:t>以下</w:t>
            </w:r>
            <w:r>
              <w:rPr>
                <w:rFonts w:ascii="Helvetica" w:hAnsi="Helvetica" w:eastAsia="宋体" w:cs="宋体"/>
                <w:color w:val="3E3E3E"/>
                <w:kern w:val="0"/>
                <w:sz w:val="24"/>
                <w:szCs w:val="24"/>
              </w:rPr>
              <w:t>(</w:t>
            </w:r>
            <w:r>
              <w:rPr>
                <w:rFonts w:hint="eastAsia" w:ascii="宋体" w:hAnsi="宋体" w:eastAsia="宋体" w:cs="宋体"/>
                <w:color w:val="3E3E3E"/>
                <w:kern w:val="0"/>
                <w:sz w:val="24"/>
                <w:szCs w:val="24"/>
              </w:rPr>
              <w:t>不含</w:t>
            </w:r>
            <w:r>
              <w:rPr>
                <w:rFonts w:ascii="Helvetica" w:hAnsi="Helvetica" w:eastAsia="宋体" w:cs="宋体"/>
                <w:color w:val="3E3E3E"/>
                <w:kern w:val="0"/>
                <w:sz w:val="24"/>
                <w:szCs w:val="24"/>
              </w:rPr>
              <w:t>)</w:t>
            </w:r>
          </w:p>
        </w:tc>
        <w:tc>
          <w:tcPr>
            <w:tcW w:w="3078" w:type="dxa"/>
            <w:tcBorders>
              <w:top w:val="nil"/>
              <w:left w:val="nil"/>
              <w:bottom w:val="single" w:color="DDDDDD" w:sz="6" w:space="0"/>
              <w:right w:val="single" w:color="DDDDDD" w:sz="6" w:space="0"/>
            </w:tcBorders>
            <w:shd w:val="clear" w:color="auto" w:fill="FFFFFF"/>
            <w:vAlign w:val="center"/>
          </w:tcPr>
          <w:p>
            <w:pPr>
              <w:widowControl/>
              <w:spacing w:line="420" w:lineRule="exact"/>
              <w:jc w:val="center"/>
              <w:rPr>
                <w:rFonts w:ascii="Helvetica Neue" w:hAnsi="Helvetica Neue" w:eastAsia="宋体" w:cs="宋体"/>
                <w:color w:val="3E3E3E"/>
                <w:kern w:val="0"/>
                <w:sz w:val="23"/>
                <w:szCs w:val="23"/>
              </w:rPr>
            </w:pPr>
            <w:r>
              <w:rPr>
                <w:rFonts w:ascii="Helvetica" w:hAnsi="Helvetica" w:eastAsia="宋体" w:cs="宋体"/>
                <w:color w:val="3E3E3E"/>
                <w:kern w:val="0"/>
                <w:sz w:val="24"/>
                <w:szCs w:val="24"/>
              </w:rPr>
              <w:t>0</w:t>
            </w:r>
          </w:p>
        </w:tc>
      </w:tr>
    </w:tbl>
    <w:p>
      <w:pPr>
        <w:widowControl/>
        <w:shd w:val="clear" w:color="auto" w:fill="FFFFFF"/>
        <w:spacing w:line="420" w:lineRule="exact"/>
        <w:jc w:val="center"/>
        <w:rPr>
          <w:rFonts w:ascii="宋体" w:hAnsi="宋体" w:eastAsia="宋体" w:cs="宋体"/>
          <w:color w:val="3E3E3E"/>
          <w:kern w:val="0"/>
          <w:szCs w:val="21"/>
        </w:rPr>
      </w:pPr>
    </w:p>
    <w:p>
      <w:pPr>
        <w:widowControl/>
        <w:shd w:val="clear" w:color="auto" w:fill="FFFFFF"/>
        <w:spacing w:line="420" w:lineRule="exact"/>
        <w:jc w:val="left"/>
        <w:rPr>
          <w:rFonts w:ascii="宋体" w:hAnsi="宋体" w:eastAsia="宋体" w:cs="宋体"/>
          <w:color w:val="3E3E3E"/>
          <w:kern w:val="0"/>
          <w:szCs w:val="21"/>
        </w:rPr>
      </w:pPr>
      <w:r>
        <w:rPr>
          <w:rFonts w:hint="eastAsia" w:ascii="宋体" w:hAnsi="宋体" w:eastAsia="宋体" w:cs="宋体"/>
          <w:b/>
          <w:bCs/>
          <w:color w:val="3E3E3E"/>
          <w:kern w:val="0"/>
          <w:sz w:val="24"/>
          <w:szCs w:val="24"/>
        </w:rPr>
        <w:t>      第九条</w:t>
      </w:r>
      <w:r>
        <w:rPr>
          <w:rFonts w:hint="eastAsia" w:ascii="宋体" w:hAnsi="宋体" w:eastAsia="宋体" w:cs="宋体"/>
          <w:color w:val="3E3E3E"/>
          <w:kern w:val="0"/>
          <w:sz w:val="24"/>
          <w:szCs w:val="24"/>
        </w:rPr>
        <w:t>  本细则由北京市国有文化资产监督管理办公室负责解释。</w:t>
      </w:r>
    </w:p>
    <w:p>
      <w:pPr>
        <w:widowControl/>
        <w:shd w:val="clear" w:color="auto" w:fill="FFFFFF"/>
        <w:spacing w:line="420" w:lineRule="exact"/>
        <w:jc w:val="left"/>
        <w:rPr>
          <w:rFonts w:ascii="宋体" w:hAnsi="宋体" w:eastAsia="宋体" w:cs="宋体"/>
          <w:color w:val="3E3E3E"/>
          <w:kern w:val="0"/>
          <w:szCs w:val="21"/>
        </w:rPr>
      </w:pPr>
      <w:r>
        <w:rPr>
          <w:rFonts w:hint="eastAsia" w:ascii="宋体" w:hAnsi="宋体" w:eastAsia="宋体" w:cs="宋体"/>
          <w:color w:val="3E3E3E"/>
          <w:kern w:val="0"/>
          <w:sz w:val="24"/>
          <w:szCs w:val="24"/>
        </w:rPr>
        <w:t> </w:t>
      </w:r>
    </w:p>
    <w:p>
      <w:pPr>
        <w:widowControl/>
        <w:shd w:val="clear" w:color="auto" w:fill="FFFFFF"/>
        <w:spacing w:line="420" w:lineRule="exact"/>
        <w:jc w:val="left"/>
        <w:rPr>
          <w:rFonts w:ascii="宋体" w:hAnsi="宋体" w:eastAsia="宋体" w:cs="宋体"/>
          <w:color w:val="3E3E3E"/>
          <w:kern w:val="0"/>
          <w:szCs w:val="21"/>
        </w:rPr>
      </w:pPr>
      <w:r>
        <w:rPr>
          <w:rFonts w:hint="eastAsia" w:ascii="宋体" w:hAnsi="宋体" w:eastAsia="宋体" w:cs="宋体"/>
          <w:color w:val="3E3E3E"/>
          <w:kern w:val="0"/>
          <w:sz w:val="24"/>
          <w:szCs w:val="24"/>
        </w:rPr>
        <w:t>      </w:t>
      </w:r>
      <w:r>
        <w:rPr>
          <w:rFonts w:hint="eastAsia" w:ascii="宋体" w:hAnsi="宋体" w:eastAsia="宋体" w:cs="宋体"/>
          <w:b/>
          <w:bCs/>
          <w:color w:val="3E3E3E"/>
          <w:kern w:val="0"/>
          <w:sz w:val="24"/>
          <w:szCs w:val="24"/>
        </w:rPr>
        <w:t>第十条 </w:t>
      </w:r>
      <w:r>
        <w:rPr>
          <w:rFonts w:hint="eastAsia" w:ascii="宋体" w:hAnsi="宋体" w:eastAsia="宋体" w:cs="宋体"/>
          <w:color w:val="3E3E3E"/>
          <w:kern w:val="0"/>
          <w:sz w:val="24"/>
          <w:szCs w:val="24"/>
        </w:rPr>
        <w:t> 本细则自发布之日起实施。</w:t>
      </w:r>
    </w:p>
    <w:p>
      <w:pPr>
        <w:rPr>
          <w:b/>
        </w:rPr>
      </w:pPr>
    </w:p>
    <w:p>
      <w:pPr>
        <w:rPr>
          <w:b/>
        </w:rPr>
      </w:pPr>
      <w:r>
        <w:rPr>
          <w:b/>
        </w:rPr>
        <w:t>转自：北京市国有文化资产监督管理办公室</w:t>
      </w:r>
    </w:p>
    <w:p>
      <w:pPr>
        <w:pStyle w:val="2"/>
      </w:pPr>
      <w:bookmarkStart w:id="123" w:name="_Toc446324695"/>
      <w:bookmarkStart w:id="124" w:name="_Toc446322492"/>
      <w:bookmarkStart w:id="125" w:name="_Toc446330737"/>
      <w:bookmarkStart w:id="126" w:name="_Toc446330634"/>
      <w:bookmarkStart w:id="127" w:name="_Toc446326765"/>
      <w:r>
        <w:rPr>
          <w:rFonts w:hint="eastAsia"/>
        </w:rPr>
        <w:t>资讯信息</w:t>
      </w:r>
      <w:bookmarkEnd w:id="123"/>
      <w:bookmarkEnd w:id="124"/>
      <w:bookmarkEnd w:id="125"/>
      <w:bookmarkEnd w:id="126"/>
      <w:bookmarkEnd w:id="127"/>
    </w:p>
    <w:p>
      <w:pPr>
        <w:pStyle w:val="3"/>
        <w:jc w:val="center"/>
      </w:pPr>
      <w:bookmarkStart w:id="128" w:name="_Toc446330635"/>
      <w:bookmarkStart w:id="129" w:name="_Toc446330738"/>
      <w:bookmarkStart w:id="130" w:name="_Toc446326766"/>
      <w:bookmarkStart w:id="131" w:name="_Toc446324696"/>
      <w:bookmarkStart w:id="132" w:name="_Toc446322493"/>
      <w:r>
        <w:rPr>
          <w:rFonts w:hint="eastAsia"/>
        </w:rPr>
        <w:t>全国将进行服务贸易创新发展试点，推进外贸转型</w:t>
      </w:r>
      <w:bookmarkEnd w:id="128"/>
      <w:bookmarkEnd w:id="129"/>
      <w:bookmarkEnd w:id="130"/>
      <w:bookmarkEnd w:id="131"/>
      <w:bookmarkEnd w:id="132"/>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新华社北京2月14日电（记者 于佳欣）14日召开的国务院常务会议决定，用2年时间，在全国10个省市和5个国家级新区开展服务贸易创新发展试点，重点对服务贸易8个方面的制度建设进行探索，有序扩大服务业开放准入。</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专家认为，在当前国际经济形势复杂严峻的情况下，加快服务贸易发展，可以推进外贸结构优化，培育经济新动能和带动就业。而创新发展试点的开展将有助于形成可复制可推广的经验，打造服务贸易制度创新高地。</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商务部数据显示，“十二五”期间，我国服务贸易快速发展，贸易额年均增长14.5%，规模跃居世界第2位，软件、技术、文化等新兴服务出口占比突破50%，成为对外贸易新亮点和转型升级的新引擎。但服务贸易国际竞争力还不强，仍是对外贸易的“短板”。</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会议决定，用2年时间，在天津、上海、海南、深圳、杭州、武汉、广州、成都、苏州、威海10个省市和哈尔滨、江北、两江、贵安、西咸5个国家级新区开展服务贸易创新发展试点，重点对服务贸易管理体制、发展模式、便利化等8个方面的制度建设进行探索。</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商务部研究院国际市场研究部副主任白明说，创新发展试点的设立能推动丰富我国服务贸易品种，提高服务贸易的效率，扩大服务贸易的覆盖范围。“随着跨境电商的发展，服务贸易的管理体制机制和监管模式将会发生改变，需要在实践中不断探索形成新的制度。”</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为此，会议提出三方面政策支持：</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在试点地区推广技术先进型服务企业税收优惠政策，将享受政策的企业范围由服务外包扩大到高技术、高附加值的其他服务行业，给予减按15%缴纳企业所得税的优惠，并对职工教育经费不超过工资薪金总额8%的部分据实税前扣除。</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--设立服务贸易创新发展引导基金，为试点地区中小服务企业提供融资支持。对试点地区进口国内急需的研发设计、节能环保和环境服务给予财政贴息。</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--鼓励金融机构创新供应链融资等业务，对试点地区经认定的技术先进型服务企业全面实施服务外包保税监管。</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政策支持不能撒胡椒面，而是要有重点地引导。”白明指出，三方面政策通过减税、设立引导基金和方便融资的方式，有侧重地鼓励高技术、高附加值的企业发展服务贸易，有利于提升服务贸易水平，优化服务贸易结构。</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专家认为，未来还需要促进产业政策、贸易政策、投资政策的良性互动，形成政策合力，并且健全相关法律法规，完善统计体系，加强人才培养，夯实服务贸易持续发展的基础。</w:t>
      </w:r>
    </w:p>
    <w:p>
      <w:pPr>
        <w:spacing w:line="360" w:lineRule="auto"/>
        <w:ind w:firstLine="560" w:firstLineChars="200"/>
        <w:rPr>
          <w:rFonts w:asciiTheme="minorEastAsia" w:hAnsiTheme="minorEastAsia"/>
          <w:sz w:val="28"/>
          <w:szCs w:val="28"/>
        </w:rPr>
      </w:pPr>
    </w:p>
    <w:p>
      <w:pPr>
        <w:rPr>
          <w:b/>
        </w:rPr>
      </w:pPr>
      <w:r>
        <w:rPr>
          <w:b/>
        </w:rPr>
        <w:t>转自：中央政府门户网站   责任编辑： 方圆震</w:t>
      </w:r>
    </w:p>
    <w:p>
      <w:pPr>
        <w:rPr>
          <w:b/>
        </w:rPr>
      </w:pPr>
    </w:p>
    <w:p>
      <w:pPr>
        <w:rPr>
          <w:b/>
        </w:rPr>
      </w:pPr>
    </w:p>
    <w:p>
      <w:pPr>
        <w:pStyle w:val="3"/>
        <w:jc w:val="center"/>
      </w:pPr>
      <w:bookmarkStart w:id="133" w:name="_Toc446330636"/>
      <w:bookmarkStart w:id="134" w:name="_Toc446330739"/>
      <w:bookmarkStart w:id="135" w:name="_Toc446326767"/>
      <w:bookmarkStart w:id="136" w:name="_Toc446322494"/>
      <w:bookmarkStart w:id="137" w:name="_Toc446324697"/>
      <w:r>
        <w:t>税务总局就3类补贴的财税处理给出权威答复</w:t>
      </w:r>
      <w:bookmarkEnd w:id="133"/>
      <w:bookmarkEnd w:id="134"/>
      <w:bookmarkEnd w:id="135"/>
      <w:bookmarkEnd w:id="136"/>
      <w:bookmarkEnd w:id="137"/>
    </w:p>
    <w:p>
      <w:pPr>
        <w:spacing w:line="560" w:lineRule="exact"/>
        <w:rPr>
          <w:rFonts w:asciiTheme="minorEastAsia" w:hAnsiTheme="minorEastAsia"/>
          <w:sz w:val="28"/>
          <w:szCs w:val="28"/>
        </w:rPr>
      </w:pPr>
      <w:r>
        <w:rPr>
          <w:rFonts w:asciiTheme="minorEastAsia" w:hAnsiTheme="minorEastAsia"/>
          <w:sz w:val="28"/>
          <w:szCs w:val="28"/>
        </w:rPr>
        <w:t>　2015年，按照全国人大和全国政协的要求，税务总局共办理“两会”议案建议提案349件，其中，议案3件、建议244件、提案102件，做到“件件有着落，事事有回应”。以下是税务总局对1927号建议的答复。</w:t>
      </w:r>
    </w:p>
    <w:p>
      <w:pPr>
        <w:spacing w:line="560" w:lineRule="exact"/>
        <w:rPr>
          <w:rFonts w:asciiTheme="minorEastAsia" w:hAnsiTheme="minorEastAsia"/>
          <w:sz w:val="28"/>
          <w:szCs w:val="28"/>
        </w:rPr>
      </w:pPr>
      <w:r>
        <w:rPr>
          <w:rFonts w:asciiTheme="minorEastAsia" w:hAnsiTheme="minorEastAsia"/>
          <w:sz w:val="28"/>
          <w:szCs w:val="28"/>
        </w:rPr>
        <w:t>　　</w:t>
      </w:r>
    </w:p>
    <w:p>
      <w:pPr>
        <w:spacing w:line="560" w:lineRule="exact"/>
        <w:jc w:val="center"/>
        <w:rPr>
          <w:rFonts w:asciiTheme="minorEastAsia" w:hAnsiTheme="minorEastAsia"/>
          <w:sz w:val="28"/>
          <w:szCs w:val="28"/>
        </w:rPr>
      </w:pPr>
      <w:r>
        <w:rPr>
          <w:rStyle w:val="14"/>
          <w:rFonts w:asciiTheme="minorEastAsia" w:hAnsiTheme="minorEastAsia"/>
          <w:color w:val="3E3E3E"/>
          <w:sz w:val="28"/>
          <w:szCs w:val="28"/>
        </w:rPr>
        <w:t>国家税务总局对十二届全国人大三次会议第1927号建议的答复</w:t>
      </w:r>
    </w:p>
    <w:p>
      <w:pPr>
        <w:spacing w:line="560" w:lineRule="exact"/>
        <w:rPr>
          <w:rFonts w:asciiTheme="minorEastAsia" w:hAnsiTheme="minorEastAsia"/>
          <w:sz w:val="28"/>
          <w:szCs w:val="28"/>
        </w:rPr>
      </w:pPr>
      <w:r>
        <w:rPr>
          <w:rFonts w:asciiTheme="minorEastAsia" w:hAnsiTheme="minorEastAsia"/>
          <w:sz w:val="28"/>
          <w:szCs w:val="28"/>
        </w:rPr>
        <w:t>　　</w:t>
      </w:r>
    </w:p>
    <w:p>
      <w:pPr>
        <w:spacing w:line="560" w:lineRule="exact"/>
        <w:ind w:firstLine="570"/>
        <w:rPr>
          <w:rFonts w:asciiTheme="minorEastAsia" w:hAnsiTheme="minorEastAsia"/>
          <w:sz w:val="28"/>
          <w:szCs w:val="28"/>
        </w:rPr>
      </w:pPr>
      <w:r>
        <w:rPr>
          <w:rFonts w:asciiTheme="minorEastAsia" w:hAnsiTheme="minorEastAsia"/>
          <w:sz w:val="28"/>
          <w:szCs w:val="28"/>
        </w:rPr>
        <w:t>您提出的关于将职工交通补贴和供暖费补贴在成本费用列支的建议收悉，现答复如下：</w:t>
      </w:r>
    </w:p>
    <w:p>
      <w:pPr>
        <w:spacing w:line="560" w:lineRule="exact"/>
        <w:ind w:firstLine="570"/>
        <w:rPr>
          <w:rFonts w:asciiTheme="minorEastAsia" w:hAnsiTheme="minorEastAsia"/>
          <w:sz w:val="28"/>
          <w:szCs w:val="28"/>
        </w:rPr>
      </w:pPr>
    </w:p>
    <w:p>
      <w:pPr>
        <w:spacing w:line="560" w:lineRule="exact"/>
        <w:rPr>
          <w:rFonts w:asciiTheme="minorEastAsia" w:hAnsiTheme="minorEastAsia"/>
          <w:sz w:val="28"/>
          <w:szCs w:val="28"/>
        </w:rPr>
      </w:pPr>
      <w:r>
        <w:rPr>
          <w:rFonts w:asciiTheme="minorEastAsia" w:hAnsiTheme="minorEastAsia"/>
          <w:sz w:val="28"/>
          <w:szCs w:val="28"/>
        </w:rPr>
        <w:t>　　</w:t>
      </w:r>
      <w:r>
        <w:rPr>
          <w:rStyle w:val="14"/>
          <w:rFonts w:asciiTheme="minorEastAsia" w:hAnsiTheme="minorEastAsia"/>
          <w:color w:val="3E3E3E"/>
          <w:sz w:val="28"/>
          <w:szCs w:val="28"/>
        </w:rPr>
        <w:t>一、企业发放的职工交通补贴和供暖费补贴在会计核算上可在成本费用中列支</w:t>
      </w:r>
      <w:r>
        <w:rPr>
          <w:rFonts w:asciiTheme="minorEastAsia" w:hAnsiTheme="minorEastAsia"/>
          <w:sz w:val="28"/>
          <w:szCs w:val="28"/>
        </w:rPr>
        <w:t>　　</w:t>
      </w:r>
    </w:p>
    <w:p>
      <w:pPr>
        <w:spacing w:line="560" w:lineRule="exact"/>
        <w:rPr>
          <w:rFonts w:asciiTheme="minorEastAsia" w:hAnsiTheme="minorEastAsia"/>
          <w:sz w:val="28"/>
          <w:szCs w:val="28"/>
        </w:rPr>
      </w:pPr>
      <w:r>
        <w:rPr>
          <w:rFonts w:asciiTheme="minorEastAsia" w:hAnsiTheme="minorEastAsia"/>
          <w:sz w:val="28"/>
          <w:szCs w:val="28"/>
        </w:rPr>
        <w:t>　　根据《企业会计准则第9号——职工薪酬》规定，企业会计核算时，支付给职工的交通补贴和供暖费补贴应在“应付职工薪酬—职工福利”科目下进行核算。其中，支付给生产部门人员的，借记“生产成本”、“制造费用”、“劳务成本”等科目，贷记本科目；应由在建工程、研发支出负担的，借记“在建工程”、“研发支出”等科目，贷记本科目；支付给管理部门人员、销售人员的，借记“管理费用”或“销售费用”科目，贷记本科目。也就是说，企业发放的职工交通补贴和供暖费补贴，在会计核算上可根据职工身份不同分别在相应的成本费用中列支。　</w:t>
      </w:r>
    </w:p>
    <w:p>
      <w:pPr>
        <w:spacing w:line="560" w:lineRule="exact"/>
        <w:rPr>
          <w:rFonts w:asciiTheme="minorEastAsia" w:hAnsiTheme="minorEastAsia"/>
          <w:sz w:val="28"/>
          <w:szCs w:val="28"/>
        </w:rPr>
      </w:pPr>
      <w:r>
        <w:rPr>
          <w:rFonts w:asciiTheme="minorEastAsia" w:hAnsiTheme="minorEastAsia"/>
          <w:sz w:val="28"/>
          <w:szCs w:val="28"/>
        </w:rPr>
        <w:t>　　</w:t>
      </w:r>
      <w:r>
        <w:rPr>
          <w:rStyle w:val="14"/>
          <w:rFonts w:asciiTheme="minorEastAsia" w:hAnsiTheme="minorEastAsia"/>
          <w:color w:val="3E3E3E"/>
          <w:sz w:val="28"/>
          <w:szCs w:val="28"/>
        </w:rPr>
        <w:t>二、企业发放的职工交通补贴和供暖费补贴可按规定在企业所得税前扣除　　</w:t>
      </w:r>
    </w:p>
    <w:p>
      <w:pPr>
        <w:spacing w:line="560" w:lineRule="exact"/>
        <w:rPr>
          <w:rFonts w:asciiTheme="minorEastAsia" w:hAnsiTheme="minorEastAsia"/>
          <w:sz w:val="28"/>
          <w:szCs w:val="28"/>
        </w:rPr>
      </w:pPr>
      <w:r>
        <w:rPr>
          <w:rFonts w:asciiTheme="minorEastAsia" w:hAnsiTheme="minorEastAsia"/>
          <w:sz w:val="28"/>
          <w:szCs w:val="28"/>
        </w:rPr>
        <w:t>　　《中华人民共和国企业所得税法实施条例》第四十条规定：企业发生的职工福利费支出，不超过工资薪金总额14%的部分，准予扣除。根据《国家税务总局关于企业工资薪金及职工福利费扣除问题的通知》（国税函〔2009〕3号）第三条规定，职工交通补贴和供暖费补贴属于职工福利费。也就是说，企业发放的职工交通补贴和供暖费补贴可以按照税法规定税前扣除。由于国家税收制度与企业财会制度规范的目的不同，两者之间将产生一定的差异，这是为了防止税基受到侵蚀，确保国家税收收入的需要。</w:t>
      </w:r>
    </w:p>
    <w:p>
      <w:pPr>
        <w:spacing w:line="560" w:lineRule="exact"/>
        <w:rPr>
          <w:rFonts w:asciiTheme="minorEastAsia" w:hAnsiTheme="minorEastAsia"/>
          <w:sz w:val="28"/>
          <w:szCs w:val="28"/>
        </w:rPr>
      </w:pPr>
      <w:r>
        <w:rPr>
          <w:rFonts w:asciiTheme="minorEastAsia" w:hAnsiTheme="minorEastAsia"/>
          <w:sz w:val="28"/>
          <w:szCs w:val="28"/>
        </w:rPr>
        <w:t>　　</w:t>
      </w:r>
      <w:r>
        <w:rPr>
          <w:rStyle w:val="14"/>
          <w:rFonts w:asciiTheme="minorEastAsia" w:hAnsiTheme="minorEastAsia"/>
          <w:color w:val="3E3E3E"/>
          <w:sz w:val="28"/>
          <w:szCs w:val="28"/>
        </w:rPr>
        <w:t>三、企业发放的符合条件的福利性补贴可作为工资薪金按规定税前扣除</w:t>
      </w:r>
      <w:r>
        <w:rPr>
          <w:rFonts w:asciiTheme="minorEastAsia" w:hAnsiTheme="minorEastAsia"/>
          <w:sz w:val="28"/>
          <w:szCs w:val="28"/>
        </w:rPr>
        <w:t>　　</w:t>
      </w:r>
    </w:p>
    <w:p>
      <w:pPr>
        <w:spacing w:line="560" w:lineRule="exact"/>
        <w:rPr>
          <w:rFonts w:asciiTheme="minorEastAsia" w:hAnsiTheme="minorEastAsia"/>
          <w:sz w:val="28"/>
          <w:szCs w:val="28"/>
        </w:rPr>
      </w:pPr>
      <w:r>
        <w:rPr>
          <w:rFonts w:asciiTheme="minorEastAsia" w:hAnsiTheme="minorEastAsia"/>
          <w:sz w:val="28"/>
          <w:szCs w:val="28"/>
        </w:rPr>
        <w:t>　　2015年5月8日，国家税务总局发布《关于企业工资薪金和职工福利费等支出税前扣除问题的公告》（国家税务总局公告2015年第34号），明确列入企业员工工资薪金制度、固定与工资薪金一起发放的福利性补贴，符合国税函〔2009〕3号文件第一条规定的，可作为企业发生的工资薪金支出，按规定在税前扣除。本公告适用于2014年度及以后年度企业所得税汇算清缴。本公告施行前尚未进行税务处理的事项，符合本公告规定的可按本公告执行。您在建议中反映的企业福利费超支问题，对于其中符合条件的福利性补贴，可按本公告规定作为工资薪金税前扣除，从而在很大程度上解决或缓解福利费超支问题。</w:t>
      </w:r>
    </w:p>
    <w:p>
      <w:pPr>
        <w:rPr>
          <w:rFonts w:asciiTheme="minorEastAsia" w:hAnsiTheme="minorEastAsia"/>
          <w:sz w:val="28"/>
          <w:szCs w:val="28"/>
        </w:rPr>
      </w:pPr>
    </w:p>
    <w:p>
      <w:pPr>
        <w:rPr>
          <w:b/>
        </w:rPr>
      </w:pPr>
      <w:r>
        <w:rPr>
          <w:b/>
        </w:rPr>
        <w:t>转自：中国税务报</w:t>
      </w:r>
    </w:p>
    <w:p>
      <w:pPr>
        <w:rPr>
          <w:rFonts w:asciiTheme="minorEastAsia" w:hAnsiTheme="minorEastAsia"/>
          <w:b/>
          <w:sz w:val="28"/>
          <w:szCs w:val="28"/>
        </w:rPr>
      </w:pPr>
    </w:p>
    <w:p>
      <w:pPr>
        <w:pStyle w:val="3"/>
        <w:jc w:val="center"/>
      </w:pPr>
      <w:bookmarkStart w:id="138" w:name="_Toc446322496"/>
      <w:bookmarkStart w:id="139" w:name="_Toc446326768"/>
      <w:bookmarkStart w:id="140" w:name="_Toc446324699"/>
      <w:bookmarkStart w:id="141" w:name="_Toc446330637"/>
      <w:bookmarkStart w:id="142" w:name="_Toc446330740"/>
      <w:r>
        <w:t>国家统计局：1月份CPI同比上涨1.8%，PPI同比下降5.3%</w:t>
      </w:r>
      <w:bookmarkEnd w:id="138"/>
      <w:bookmarkEnd w:id="139"/>
      <w:bookmarkEnd w:id="140"/>
      <w:bookmarkEnd w:id="141"/>
      <w:bookmarkEnd w:id="142"/>
    </w:p>
    <w:p>
      <w:pPr>
        <w:jc w:val="center"/>
        <w:rPr>
          <w:rFonts w:ascii="Helvetica Neue" w:hAnsi="Helvetica Neue"/>
          <w:sz w:val="28"/>
          <w:szCs w:val="28"/>
        </w:rPr>
      </w:pPr>
      <w:r>
        <w:rPr>
          <w:rStyle w:val="14"/>
          <w:rFonts w:hint="eastAsia"/>
          <w:color w:val="3E3E3E"/>
          <w:sz w:val="28"/>
          <w:szCs w:val="28"/>
        </w:rPr>
        <w:t>——国家统计局城市司高级统计师余秋梅解读</w:t>
      </w:r>
      <w:r>
        <w:rPr>
          <w:rStyle w:val="14"/>
          <w:rFonts w:ascii="Helvetica Neue" w:hAnsi="Helvetica Neue"/>
          <w:color w:val="3E3E3E"/>
          <w:sz w:val="28"/>
          <w:szCs w:val="28"/>
        </w:rPr>
        <w:t>2016</w:t>
      </w:r>
      <w:r>
        <w:rPr>
          <w:rStyle w:val="14"/>
          <w:rFonts w:hint="eastAsia"/>
          <w:color w:val="3E3E3E"/>
          <w:sz w:val="28"/>
          <w:szCs w:val="28"/>
        </w:rPr>
        <w:t>年</w:t>
      </w:r>
      <w:r>
        <w:rPr>
          <w:rStyle w:val="14"/>
          <w:rFonts w:ascii="Helvetica Neue" w:hAnsi="Helvetica Neue"/>
          <w:color w:val="3E3E3E"/>
          <w:sz w:val="28"/>
          <w:szCs w:val="28"/>
        </w:rPr>
        <w:t>1</w:t>
      </w:r>
      <w:r>
        <w:rPr>
          <w:rStyle w:val="14"/>
          <w:rFonts w:hint="eastAsia"/>
          <w:color w:val="3E3E3E"/>
          <w:sz w:val="28"/>
          <w:szCs w:val="28"/>
        </w:rPr>
        <w:t>月份</w:t>
      </w:r>
      <w:r>
        <w:rPr>
          <w:rStyle w:val="14"/>
          <w:rFonts w:ascii="Helvetica Neue" w:hAnsi="Helvetica Neue"/>
          <w:color w:val="3E3E3E"/>
          <w:sz w:val="28"/>
          <w:szCs w:val="28"/>
        </w:rPr>
        <w:t>CPI</w:t>
      </w:r>
      <w:r>
        <w:rPr>
          <w:rStyle w:val="14"/>
          <w:rFonts w:hint="eastAsia"/>
          <w:color w:val="3E3E3E"/>
          <w:sz w:val="28"/>
          <w:szCs w:val="28"/>
        </w:rPr>
        <w:t>、</w:t>
      </w:r>
      <w:r>
        <w:rPr>
          <w:rStyle w:val="14"/>
          <w:rFonts w:ascii="Helvetica Neue" w:hAnsi="Helvetica Neue"/>
          <w:color w:val="3E3E3E"/>
          <w:sz w:val="28"/>
          <w:szCs w:val="28"/>
        </w:rPr>
        <w:t>PPI</w:t>
      </w:r>
      <w:r>
        <w:rPr>
          <w:rStyle w:val="14"/>
          <w:rFonts w:hint="eastAsia"/>
          <w:color w:val="3E3E3E"/>
          <w:sz w:val="28"/>
          <w:szCs w:val="28"/>
        </w:rPr>
        <w:t>数据</w:t>
      </w:r>
    </w:p>
    <w:p>
      <w:pPr>
        <w:rPr>
          <w:rFonts w:ascii="Helvetica Neue" w:hAnsi="Helvetica Neue"/>
          <w:sz w:val="28"/>
          <w:szCs w:val="28"/>
        </w:rPr>
      </w:pPr>
      <w:r>
        <w:rPr>
          <w:rFonts w:ascii="Helvetica Neue" w:hAnsi="Helvetica Neue"/>
          <w:sz w:val="28"/>
          <w:szCs w:val="28"/>
        </w:rPr>
        <w:t> </w:t>
      </w:r>
    </w:p>
    <w:p>
      <w:pPr>
        <w:rPr>
          <w:rFonts w:ascii="Helvetica Neue" w:hAnsi="Helvetica Neue"/>
          <w:sz w:val="28"/>
          <w:szCs w:val="28"/>
        </w:rPr>
      </w:pPr>
      <w:r>
        <w:rPr>
          <w:rFonts w:hint="eastAsia"/>
          <w:sz w:val="28"/>
          <w:szCs w:val="28"/>
        </w:rPr>
        <w:t>　　国家统计局今天发布的</w:t>
      </w:r>
      <w:r>
        <w:rPr>
          <w:rFonts w:ascii="Helvetica Neue" w:hAnsi="Helvetica Neue"/>
          <w:sz w:val="28"/>
          <w:szCs w:val="28"/>
        </w:rPr>
        <w:t>2016</w:t>
      </w:r>
      <w:r>
        <w:rPr>
          <w:rFonts w:hint="eastAsia"/>
          <w:sz w:val="28"/>
          <w:szCs w:val="28"/>
        </w:rPr>
        <w:t>年</w:t>
      </w:r>
      <w:r>
        <w:rPr>
          <w:rFonts w:ascii="Helvetica Neue" w:hAnsi="Helvetica Neue"/>
          <w:sz w:val="28"/>
          <w:szCs w:val="28"/>
        </w:rPr>
        <w:t>1</w:t>
      </w:r>
      <w:r>
        <w:rPr>
          <w:rFonts w:hint="eastAsia"/>
          <w:sz w:val="28"/>
          <w:szCs w:val="28"/>
        </w:rPr>
        <w:t>月份全国居民消费价格指数（</w:t>
      </w:r>
      <w:r>
        <w:rPr>
          <w:rFonts w:ascii="Helvetica Neue" w:hAnsi="Helvetica Neue"/>
          <w:sz w:val="28"/>
          <w:szCs w:val="28"/>
        </w:rPr>
        <w:t>CPI</w:t>
      </w:r>
      <w:r>
        <w:rPr>
          <w:rFonts w:hint="eastAsia"/>
          <w:sz w:val="28"/>
          <w:szCs w:val="28"/>
        </w:rPr>
        <w:t>）和工业生产者出厂价格指数（</w:t>
      </w:r>
      <w:r>
        <w:rPr>
          <w:rFonts w:ascii="Helvetica Neue" w:hAnsi="Helvetica Neue"/>
          <w:sz w:val="28"/>
          <w:szCs w:val="28"/>
        </w:rPr>
        <w:t>PPI</w:t>
      </w:r>
      <w:r>
        <w:rPr>
          <w:rFonts w:hint="eastAsia"/>
          <w:sz w:val="28"/>
          <w:szCs w:val="28"/>
        </w:rPr>
        <w:t>）数据显示，</w:t>
      </w:r>
      <w:r>
        <w:rPr>
          <w:rFonts w:ascii="Helvetica Neue" w:hAnsi="Helvetica Neue"/>
          <w:sz w:val="28"/>
          <w:szCs w:val="28"/>
        </w:rPr>
        <w:t>CPI</w:t>
      </w:r>
      <w:r>
        <w:rPr>
          <w:rFonts w:hint="eastAsia"/>
          <w:sz w:val="28"/>
          <w:szCs w:val="28"/>
        </w:rPr>
        <w:t>环比上涨</w:t>
      </w:r>
      <w:r>
        <w:rPr>
          <w:rFonts w:ascii="Helvetica Neue" w:hAnsi="Helvetica Neue"/>
          <w:sz w:val="28"/>
          <w:szCs w:val="28"/>
        </w:rPr>
        <w:t>0.5%</w:t>
      </w:r>
      <w:r>
        <w:rPr>
          <w:rFonts w:hint="eastAsia"/>
          <w:sz w:val="28"/>
          <w:szCs w:val="28"/>
        </w:rPr>
        <w:t>，同比上涨</w:t>
      </w:r>
      <w:r>
        <w:rPr>
          <w:rFonts w:ascii="Helvetica Neue" w:hAnsi="Helvetica Neue"/>
          <w:sz w:val="28"/>
          <w:szCs w:val="28"/>
        </w:rPr>
        <w:t>1.8%</w:t>
      </w:r>
      <w:r>
        <w:rPr>
          <w:rFonts w:hint="eastAsia"/>
          <w:sz w:val="28"/>
          <w:szCs w:val="28"/>
        </w:rPr>
        <w:t>；</w:t>
      </w:r>
      <w:r>
        <w:rPr>
          <w:rFonts w:ascii="Helvetica Neue" w:hAnsi="Helvetica Neue"/>
          <w:sz w:val="28"/>
          <w:szCs w:val="28"/>
        </w:rPr>
        <w:t>PPI</w:t>
      </w:r>
      <w:r>
        <w:rPr>
          <w:rFonts w:hint="eastAsia"/>
          <w:sz w:val="28"/>
          <w:szCs w:val="28"/>
        </w:rPr>
        <w:t>环比下降</w:t>
      </w:r>
      <w:r>
        <w:rPr>
          <w:rFonts w:ascii="Helvetica Neue" w:hAnsi="Helvetica Neue"/>
          <w:sz w:val="28"/>
          <w:szCs w:val="28"/>
        </w:rPr>
        <w:t>0.5%</w:t>
      </w:r>
      <w:r>
        <w:rPr>
          <w:rFonts w:hint="eastAsia"/>
          <w:sz w:val="28"/>
          <w:szCs w:val="28"/>
        </w:rPr>
        <w:t>，同比下降</w:t>
      </w:r>
      <w:r>
        <w:rPr>
          <w:rFonts w:ascii="Helvetica Neue" w:hAnsi="Helvetica Neue"/>
          <w:sz w:val="28"/>
          <w:szCs w:val="28"/>
        </w:rPr>
        <w:t>5.3%</w:t>
      </w:r>
      <w:r>
        <w:rPr>
          <w:rFonts w:hint="eastAsia"/>
          <w:sz w:val="28"/>
          <w:szCs w:val="28"/>
        </w:rPr>
        <w:t>。对此，国家统计局城市司高级统计师余秋梅进行了解读。</w:t>
      </w:r>
    </w:p>
    <w:p>
      <w:pPr>
        <w:rPr>
          <w:rFonts w:ascii="Helvetica Neue" w:hAnsi="Helvetica Neue"/>
          <w:sz w:val="28"/>
          <w:szCs w:val="28"/>
        </w:rPr>
      </w:pPr>
      <w:r>
        <w:rPr>
          <w:rFonts w:ascii="Helvetica Neue" w:hAnsi="Helvetica Neue"/>
          <w:sz w:val="28"/>
          <w:szCs w:val="28"/>
        </w:rPr>
        <w:t> </w:t>
      </w:r>
    </w:p>
    <w:p>
      <w:pPr>
        <w:rPr>
          <w:rFonts w:ascii="Helvetica Neue" w:hAnsi="Helvetica Neue"/>
          <w:sz w:val="28"/>
          <w:szCs w:val="28"/>
        </w:rPr>
      </w:pPr>
      <w:r>
        <w:rPr>
          <w:rStyle w:val="14"/>
          <w:rFonts w:hint="eastAsia"/>
          <w:color w:val="3E3E3E"/>
          <w:sz w:val="28"/>
          <w:szCs w:val="28"/>
        </w:rPr>
        <w:t>　　一、居民消费价格环比上涨较多，同比涨幅有所扩大</w:t>
      </w:r>
    </w:p>
    <w:p>
      <w:pPr>
        <w:rPr>
          <w:rFonts w:ascii="Helvetica Neue" w:hAnsi="Helvetica Neue"/>
          <w:sz w:val="28"/>
          <w:szCs w:val="28"/>
        </w:rPr>
      </w:pPr>
      <w:r>
        <w:rPr>
          <w:rFonts w:hint="eastAsia"/>
          <w:sz w:val="28"/>
          <w:szCs w:val="28"/>
        </w:rPr>
        <w:t>　　从环比看，</w:t>
      </w:r>
      <w:r>
        <w:rPr>
          <w:rFonts w:ascii="Helvetica Neue" w:hAnsi="Helvetica Neue"/>
          <w:sz w:val="28"/>
          <w:szCs w:val="28"/>
        </w:rPr>
        <w:t>1</w:t>
      </w:r>
      <w:r>
        <w:rPr>
          <w:rFonts w:hint="eastAsia"/>
          <w:sz w:val="28"/>
          <w:szCs w:val="28"/>
        </w:rPr>
        <w:t>月份</w:t>
      </w:r>
      <w:r>
        <w:rPr>
          <w:rFonts w:ascii="Helvetica Neue" w:hAnsi="Helvetica Neue"/>
          <w:sz w:val="28"/>
          <w:szCs w:val="28"/>
        </w:rPr>
        <w:t>CPI</w:t>
      </w:r>
      <w:r>
        <w:rPr>
          <w:rFonts w:hint="eastAsia"/>
          <w:sz w:val="28"/>
          <w:szCs w:val="28"/>
        </w:rPr>
        <w:t>上涨较多，主要原因有三个方面。一是强寒潮天气影响了鲜菜、鲜果的生产和运输，鲜菜和鲜果价格环比分别上涨</w:t>
      </w:r>
      <w:r>
        <w:rPr>
          <w:rFonts w:ascii="Helvetica Neue" w:hAnsi="Helvetica Neue"/>
          <w:sz w:val="28"/>
          <w:szCs w:val="28"/>
        </w:rPr>
        <w:t>7.2%</w:t>
      </w:r>
      <w:r>
        <w:rPr>
          <w:rFonts w:hint="eastAsia"/>
          <w:sz w:val="28"/>
          <w:szCs w:val="28"/>
        </w:rPr>
        <w:t>和</w:t>
      </w:r>
      <w:r>
        <w:rPr>
          <w:rFonts w:ascii="Helvetica Neue" w:hAnsi="Helvetica Neue"/>
          <w:sz w:val="28"/>
          <w:szCs w:val="28"/>
        </w:rPr>
        <w:t>4.0%</w:t>
      </w:r>
      <w:r>
        <w:rPr>
          <w:rFonts w:hint="eastAsia"/>
          <w:sz w:val="28"/>
          <w:szCs w:val="28"/>
        </w:rPr>
        <w:t>；春节临近，市场需求增加，猪肉价格环比上涨</w:t>
      </w:r>
      <w:r>
        <w:rPr>
          <w:rFonts w:ascii="Helvetica Neue" w:hAnsi="Helvetica Neue"/>
          <w:sz w:val="28"/>
          <w:szCs w:val="28"/>
        </w:rPr>
        <w:t>2.5%</w:t>
      </w:r>
      <w:r>
        <w:rPr>
          <w:rFonts w:hint="eastAsia"/>
          <w:sz w:val="28"/>
          <w:szCs w:val="28"/>
        </w:rPr>
        <w:t>。上述三项合计影响</w:t>
      </w:r>
      <w:r>
        <w:rPr>
          <w:rFonts w:ascii="Helvetica Neue" w:hAnsi="Helvetica Neue"/>
          <w:sz w:val="28"/>
          <w:szCs w:val="28"/>
        </w:rPr>
        <w:t>CPI</w:t>
      </w:r>
      <w:r>
        <w:rPr>
          <w:rFonts w:hint="eastAsia"/>
          <w:sz w:val="28"/>
          <w:szCs w:val="28"/>
        </w:rPr>
        <w:t>环比上涨</w:t>
      </w:r>
      <w:r>
        <w:rPr>
          <w:rFonts w:ascii="Helvetica Neue" w:hAnsi="Helvetica Neue"/>
          <w:sz w:val="28"/>
          <w:szCs w:val="28"/>
        </w:rPr>
        <w:t>0.32</w:t>
      </w:r>
      <w:r>
        <w:rPr>
          <w:rFonts w:hint="eastAsia"/>
          <w:sz w:val="28"/>
          <w:szCs w:val="28"/>
        </w:rPr>
        <w:t>个百分点。二是寒假、春运期间出行人数增加，交通和旅游价格上涨明显，从全国范围看，飞机票、旅行社收费、长途汽车价格环比分别上涨</w:t>
      </w:r>
      <w:r>
        <w:rPr>
          <w:rFonts w:ascii="Helvetica Neue" w:hAnsi="Helvetica Neue"/>
          <w:sz w:val="28"/>
          <w:szCs w:val="28"/>
        </w:rPr>
        <w:t>10.0%</w:t>
      </w:r>
      <w:r>
        <w:rPr>
          <w:rFonts w:hint="eastAsia"/>
          <w:sz w:val="28"/>
          <w:szCs w:val="28"/>
        </w:rPr>
        <w:t>、</w:t>
      </w:r>
      <w:r>
        <w:rPr>
          <w:rFonts w:ascii="Helvetica Neue" w:hAnsi="Helvetica Neue"/>
          <w:sz w:val="28"/>
          <w:szCs w:val="28"/>
        </w:rPr>
        <w:t>4.2%</w:t>
      </w:r>
      <w:r>
        <w:rPr>
          <w:rFonts w:hint="eastAsia"/>
          <w:sz w:val="28"/>
          <w:szCs w:val="28"/>
        </w:rPr>
        <w:t>和</w:t>
      </w:r>
      <w:r>
        <w:rPr>
          <w:rFonts w:ascii="Helvetica Neue" w:hAnsi="Helvetica Neue"/>
          <w:sz w:val="28"/>
          <w:szCs w:val="28"/>
        </w:rPr>
        <w:t>1.3%</w:t>
      </w:r>
      <w:r>
        <w:rPr>
          <w:rFonts w:hint="eastAsia"/>
          <w:sz w:val="28"/>
          <w:szCs w:val="28"/>
        </w:rPr>
        <w:t>，合计影响</w:t>
      </w:r>
      <w:r>
        <w:rPr>
          <w:rFonts w:ascii="Helvetica Neue" w:hAnsi="Helvetica Neue"/>
          <w:sz w:val="28"/>
          <w:szCs w:val="28"/>
        </w:rPr>
        <w:t>CPI</w:t>
      </w:r>
      <w:r>
        <w:rPr>
          <w:rFonts w:hint="eastAsia"/>
          <w:sz w:val="28"/>
          <w:szCs w:val="28"/>
        </w:rPr>
        <w:t>环比上涨</w:t>
      </w:r>
      <w:r>
        <w:rPr>
          <w:rFonts w:ascii="Helvetica Neue" w:hAnsi="Helvetica Neue"/>
          <w:sz w:val="28"/>
          <w:szCs w:val="28"/>
        </w:rPr>
        <w:t>0.09</w:t>
      </w:r>
      <w:r>
        <w:rPr>
          <w:rFonts w:hint="eastAsia"/>
          <w:sz w:val="28"/>
          <w:szCs w:val="28"/>
        </w:rPr>
        <w:t>个百分点。三是临近春节，居民对服务的需求增加，部分服务项目价格上涨较多，保姆小时工等家政服务、美发、衣着洗涤保养价格环比分别上涨</w:t>
      </w:r>
      <w:r>
        <w:rPr>
          <w:rFonts w:ascii="Helvetica Neue" w:hAnsi="Helvetica Neue"/>
          <w:sz w:val="28"/>
          <w:szCs w:val="28"/>
        </w:rPr>
        <w:t>3.0%</w:t>
      </w:r>
      <w:r>
        <w:rPr>
          <w:rFonts w:hint="eastAsia"/>
          <w:sz w:val="28"/>
          <w:szCs w:val="28"/>
        </w:rPr>
        <w:t>、</w:t>
      </w:r>
      <w:r>
        <w:rPr>
          <w:rFonts w:ascii="Helvetica Neue" w:hAnsi="Helvetica Neue"/>
          <w:sz w:val="28"/>
          <w:szCs w:val="28"/>
        </w:rPr>
        <w:t>1.6%</w:t>
      </w:r>
      <w:r>
        <w:rPr>
          <w:rFonts w:hint="eastAsia"/>
          <w:sz w:val="28"/>
          <w:szCs w:val="28"/>
        </w:rPr>
        <w:t>和</w:t>
      </w:r>
      <w:r>
        <w:rPr>
          <w:rFonts w:ascii="Helvetica Neue" w:hAnsi="Helvetica Neue"/>
          <w:sz w:val="28"/>
          <w:szCs w:val="28"/>
        </w:rPr>
        <w:t>0.9%</w:t>
      </w:r>
      <w:r>
        <w:rPr>
          <w:rFonts w:hint="eastAsia"/>
          <w:sz w:val="28"/>
          <w:szCs w:val="28"/>
        </w:rPr>
        <w:t>。</w:t>
      </w:r>
    </w:p>
    <w:p>
      <w:pPr>
        <w:rPr>
          <w:rFonts w:ascii="Helvetica Neue" w:hAnsi="Helvetica Neue"/>
          <w:sz w:val="28"/>
          <w:szCs w:val="28"/>
        </w:rPr>
      </w:pPr>
      <w:r>
        <w:rPr>
          <w:rFonts w:hint="eastAsia"/>
          <w:sz w:val="28"/>
          <w:szCs w:val="28"/>
        </w:rPr>
        <w:t>　　从同比看，</w:t>
      </w:r>
      <w:r>
        <w:rPr>
          <w:rFonts w:ascii="Helvetica Neue" w:hAnsi="Helvetica Neue"/>
          <w:sz w:val="28"/>
          <w:szCs w:val="28"/>
        </w:rPr>
        <w:t>1</w:t>
      </w:r>
      <w:r>
        <w:rPr>
          <w:rFonts w:hint="eastAsia"/>
          <w:sz w:val="28"/>
          <w:szCs w:val="28"/>
        </w:rPr>
        <w:t>月份</w:t>
      </w:r>
      <w:r>
        <w:rPr>
          <w:rFonts w:ascii="Helvetica Neue" w:hAnsi="Helvetica Neue"/>
          <w:sz w:val="28"/>
          <w:szCs w:val="28"/>
        </w:rPr>
        <w:t>CPI</w:t>
      </w:r>
      <w:r>
        <w:rPr>
          <w:rFonts w:hint="eastAsia"/>
          <w:sz w:val="28"/>
          <w:szCs w:val="28"/>
        </w:rPr>
        <w:t>同比涨幅比去年</w:t>
      </w:r>
      <w:r>
        <w:rPr>
          <w:rFonts w:ascii="Helvetica Neue" w:hAnsi="Helvetica Neue"/>
          <w:sz w:val="28"/>
          <w:szCs w:val="28"/>
        </w:rPr>
        <w:t>12</w:t>
      </w:r>
      <w:r>
        <w:rPr>
          <w:rFonts w:hint="eastAsia"/>
          <w:sz w:val="28"/>
          <w:szCs w:val="28"/>
        </w:rPr>
        <w:t>月份扩大了</w:t>
      </w:r>
      <w:r>
        <w:rPr>
          <w:rFonts w:ascii="Helvetica Neue" w:hAnsi="Helvetica Neue"/>
          <w:sz w:val="28"/>
          <w:szCs w:val="28"/>
        </w:rPr>
        <w:t>0.2</w:t>
      </w:r>
      <w:r>
        <w:rPr>
          <w:rFonts w:hint="eastAsia"/>
          <w:sz w:val="28"/>
          <w:szCs w:val="28"/>
        </w:rPr>
        <w:t>个百分点，主要原因是部分分类价格同比涨幅有所扩大，猪肉、鲜菜、飞机票、旅行社收费价格同比分别上涨</w:t>
      </w:r>
      <w:r>
        <w:rPr>
          <w:rFonts w:ascii="Helvetica Neue" w:hAnsi="Helvetica Neue"/>
          <w:sz w:val="28"/>
          <w:szCs w:val="28"/>
        </w:rPr>
        <w:t>18.8%</w:t>
      </w:r>
      <w:r>
        <w:rPr>
          <w:rFonts w:hint="eastAsia"/>
          <w:sz w:val="28"/>
          <w:szCs w:val="28"/>
        </w:rPr>
        <w:t>、</w:t>
      </w:r>
      <w:r>
        <w:rPr>
          <w:rFonts w:ascii="Helvetica Neue" w:hAnsi="Helvetica Neue"/>
          <w:sz w:val="28"/>
          <w:szCs w:val="28"/>
        </w:rPr>
        <w:t>14.7%</w:t>
      </w:r>
      <w:r>
        <w:rPr>
          <w:rFonts w:hint="eastAsia"/>
          <w:sz w:val="28"/>
          <w:szCs w:val="28"/>
        </w:rPr>
        <w:t>、</w:t>
      </w:r>
      <w:r>
        <w:rPr>
          <w:rFonts w:ascii="Helvetica Neue" w:hAnsi="Helvetica Neue"/>
          <w:sz w:val="28"/>
          <w:szCs w:val="28"/>
        </w:rPr>
        <w:t>11.8%</w:t>
      </w:r>
      <w:r>
        <w:rPr>
          <w:rFonts w:hint="eastAsia"/>
          <w:sz w:val="28"/>
          <w:szCs w:val="28"/>
        </w:rPr>
        <w:t>、</w:t>
      </w:r>
      <w:r>
        <w:rPr>
          <w:rFonts w:ascii="Helvetica Neue" w:hAnsi="Helvetica Neue"/>
          <w:sz w:val="28"/>
          <w:szCs w:val="28"/>
        </w:rPr>
        <w:t>4.2%</w:t>
      </w:r>
      <w:r>
        <w:rPr>
          <w:rFonts w:hint="eastAsia"/>
          <w:sz w:val="28"/>
          <w:szCs w:val="28"/>
        </w:rPr>
        <w:t>，同比涨幅分别比上月扩大了</w:t>
      </w:r>
      <w:r>
        <w:rPr>
          <w:rFonts w:ascii="Helvetica Neue" w:hAnsi="Helvetica Neue"/>
          <w:sz w:val="28"/>
          <w:szCs w:val="28"/>
        </w:rPr>
        <w:t>4.8</w:t>
      </w:r>
      <w:r>
        <w:rPr>
          <w:rFonts w:hint="eastAsia"/>
          <w:sz w:val="28"/>
          <w:szCs w:val="28"/>
        </w:rPr>
        <w:t>、</w:t>
      </w:r>
      <w:r>
        <w:rPr>
          <w:rFonts w:ascii="Helvetica Neue" w:hAnsi="Helvetica Neue"/>
          <w:sz w:val="28"/>
          <w:szCs w:val="28"/>
        </w:rPr>
        <w:t>2.9</w:t>
      </w:r>
      <w:r>
        <w:rPr>
          <w:rFonts w:hint="eastAsia"/>
          <w:sz w:val="28"/>
          <w:szCs w:val="28"/>
        </w:rPr>
        <w:t>、</w:t>
      </w:r>
      <w:r>
        <w:rPr>
          <w:rFonts w:ascii="Helvetica Neue" w:hAnsi="Helvetica Neue"/>
          <w:sz w:val="28"/>
          <w:szCs w:val="28"/>
        </w:rPr>
        <w:t>9.5</w:t>
      </w:r>
      <w:r>
        <w:rPr>
          <w:rFonts w:hint="eastAsia"/>
          <w:sz w:val="28"/>
          <w:szCs w:val="28"/>
        </w:rPr>
        <w:t>和</w:t>
      </w:r>
      <w:r>
        <w:rPr>
          <w:rFonts w:ascii="Helvetica Neue" w:hAnsi="Helvetica Neue"/>
          <w:sz w:val="28"/>
          <w:szCs w:val="28"/>
        </w:rPr>
        <w:t>3.4</w:t>
      </w:r>
      <w:r>
        <w:rPr>
          <w:rFonts w:hint="eastAsia"/>
          <w:sz w:val="28"/>
          <w:szCs w:val="28"/>
        </w:rPr>
        <w:t>个百分点。此外，受劳动力成本上涨影响，部分服务价格同比涨幅较高，家政服务、美发、衣着洗涤保养、美容等价格同比分别上涨</w:t>
      </w:r>
      <w:r>
        <w:rPr>
          <w:rFonts w:ascii="Helvetica Neue" w:hAnsi="Helvetica Neue"/>
          <w:sz w:val="28"/>
          <w:szCs w:val="28"/>
        </w:rPr>
        <w:t>7.4%</w:t>
      </w:r>
      <w:r>
        <w:rPr>
          <w:rFonts w:hint="eastAsia"/>
          <w:sz w:val="28"/>
          <w:szCs w:val="28"/>
        </w:rPr>
        <w:t>、</w:t>
      </w:r>
      <w:r>
        <w:rPr>
          <w:rFonts w:ascii="Helvetica Neue" w:hAnsi="Helvetica Neue"/>
          <w:sz w:val="28"/>
          <w:szCs w:val="28"/>
        </w:rPr>
        <w:t>5.5%</w:t>
      </w:r>
      <w:r>
        <w:rPr>
          <w:rFonts w:hint="eastAsia"/>
          <w:sz w:val="28"/>
          <w:szCs w:val="28"/>
        </w:rPr>
        <w:t>、</w:t>
      </w:r>
      <w:r>
        <w:rPr>
          <w:rFonts w:ascii="Helvetica Neue" w:hAnsi="Helvetica Neue"/>
          <w:sz w:val="28"/>
          <w:szCs w:val="28"/>
        </w:rPr>
        <w:t>4.0%</w:t>
      </w:r>
      <w:r>
        <w:rPr>
          <w:rFonts w:hint="eastAsia"/>
          <w:sz w:val="28"/>
          <w:szCs w:val="28"/>
        </w:rPr>
        <w:t>和</w:t>
      </w:r>
      <w:r>
        <w:rPr>
          <w:rFonts w:ascii="Helvetica Neue" w:hAnsi="Helvetica Neue"/>
          <w:sz w:val="28"/>
          <w:szCs w:val="28"/>
        </w:rPr>
        <w:t>3.1%</w:t>
      </w:r>
      <w:r>
        <w:rPr>
          <w:rFonts w:hint="eastAsia"/>
          <w:sz w:val="28"/>
          <w:szCs w:val="28"/>
        </w:rPr>
        <w:t>。</w:t>
      </w:r>
    </w:p>
    <w:p>
      <w:pPr>
        <w:rPr>
          <w:rFonts w:ascii="Helvetica Neue" w:hAnsi="Helvetica Neue"/>
          <w:sz w:val="28"/>
          <w:szCs w:val="28"/>
        </w:rPr>
      </w:pPr>
      <w:r>
        <w:rPr>
          <w:rStyle w:val="14"/>
          <w:rFonts w:hint="eastAsia"/>
          <w:color w:val="3E3E3E"/>
          <w:sz w:val="28"/>
          <w:szCs w:val="28"/>
        </w:rPr>
        <w:t>　　二、工业生产者出厂价格环比、同比降幅双收窄</w:t>
      </w:r>
    </w:p>
    <w:p>
      <w:pPr>
        <w:rPr>
          <w:rFonts w:ascii="Helvetica Neue" w:hAnsi="Helvetica Neue"/>
          <w:sz w:val="28"/>
          <w:szCs w:val="28"/>
        </w:rPr>
      </w:pPr>
      <w:r>
        <w:rPr>
          <w:rFonts w:ascii="Helvetica Neue" w:hAnsi="Helvetica Neue"/>
          <w:sz w:val="28"/>
          <w:szCs w:val="28"/>
        </w:rPr>
        <w:t>1</w:t>
      </w:r>
      <w:r>
        <w:rPr>
          <w:rFonts w:hint="eastAsia"/>
          <w:sz w:val="28"/>
          <w:szCs w:val="28"/>
        </w:rPr>
        <w:t>月份，工业生产者出厂价格环比下降</w:t>
      </w:r>
      <w:r>
        <w:rPr>
          <w:rFonts w:ascii="Helvetica Neue" w:hAnsi="Helvetica Neue"/>
          <w:sz w:val="28"/>
          <w:szCs w:val="28"/>
        </w:rPr>
        <w:t>0.5%</w:t>
      </w:r>
      <w:r>
        <w:rPr>
          <w:rFonts w:hint="eastAsia"/>
          <w:sz w:val="28"/>
          <w:szCs w:val="28"/>
        </w:rPr>
        <w:t>，降幅比上月收窄</w:t>
      </w:r>
      <w:r>
        <w:rPr>
          <w:rFonts w:ascii="Helvetica Neue" w:hAnsi="Helvetica Neue"/>
          <w:sz w:val="28"/>
          <w:szCs w:val="28"/>
        </w:rPr>
        <w:t>0.1</w:t>
      </w:r>
      <w:r>
        <w:rPr>
          <w:rFonts w:hint="eastAsia"/>
          <w:sz w:val="28"/>
          <w:szCs w:val="28"/>
        </w:rPr>
        <w:t>个百分点。环比降幅略有收窄的原因是部分工业行业出厂价格由降转升或降幅缩小。其中，黑色金属冶炼和压延加工、有色金属矿采选价格环比由上月的下降转为本月的上涨</w:t>
      </w:r>
      <w:r>
        <w:rPr>
          <w:rFonts w:ascii="Helvetica Neue" w:hAnsi="Helvetica Neue"/>
          <w:sz w:val="28"/>
          <w:szCs w:val="28"/>
        </w:rPr>
        <w:t>0.1%</w:t>
      </w:r>
      <w:r>
        <w:rPr>
          <w:rFonts w:hint="eastAsia"/>
          <w:sz w:val="28"/>
          <w:szCs w:val="28"/>
        </w:rPr>
        <w:t>、</w:t>
      </w:r>
      <w:r>
        <w:rPr>
          <w:rFonts w:ascii="Helvetica Neue" w:hAnsi="Helvetica Neue"/>
          <w:sz w:val="28"/>
          <w:szCs w:val="28"/>
        </w:rPr>
        <w:t>0.6%</w:t>
      </w:r>
      <w:r>
        <w:rPr>
          <w:rFonts w:hint="eastAsia"/>
          <w:sz w:val="28"/>
          <w:szCs w:val="28"/>
        </w:rPr>
        <w:t>；有色金属冶炼和压延加工价格环比由上月的下降转为本月的持平；化学原料和化学制品制造价格环比下降</w:t>
      </w:r>
      <w:r>
        <w:rPr>
          <w:rFonts w:ascii="Helvetica Neue" w:hAnsi="Helvetica Neue"/>
          <w:sz w:val="28"/>
          <w:szCs w:val="28"/>
        </w:rPr>
        <w:t>0.7%</w:t>
      </w:r>
      <w:r>
        <w:rPr>
          <w:rFonts w:hint="eastAsia"/>
          <w:sz w:val="28"/>
          <w:szCs w:val="28"/>
        </w:rPr>
        <w:t>，比上月降幅收窄</w:t>
      </w:r>
      <w:r>
        <w:rPr>
          <w:rFonts w:ascii="Helvetica Neue" w:hAnsi="Helvetica Neue"/>
          <w:sz w:val="28"/>
          <w:szCs w:val="28"/>
        </w:rPr>
        <w:t>0.2</w:t>
      </w:r>
      <w:r>
        <w:rPr>
          <w:rFonts w:hint="eastAsia"/>
          <w:sz w:val="28"/>
          <w:szCs w:val="28"/>
        </w:rPr>
        <w:t>个百分点。</w:t>
      </w:r>
    </w:p>
    <w:p>
      <w:pPr>
        <w:rPr>
          <w:sz w:val="28"/>
          <w:szCs w:val="28"/>
        </w:rPr>
      </w:pPr>
      <w:r>
        <w:rPr>
          <w:rFonts w:ascii="Helvetica Neue" w:hAnsi="Helvetica Neue"/>
          <w:sz w:val="28"/>
          <w:szCs w:val="28"/>
        </w:rPr>
        <w:t>1</w:t>
      </w:r>
      <w:r>
        <w:rPr>
          <w:rFonts w:hint="eastAsia"/>
          <w:sz w:val="28"/>
          <w:szCs w:val="28"/>
        </w:rPr>
        <w:t>月份，工业生产者出厂价格同比下降</w:t>
      </w:r>
      <w:r>
        <w:rPr>
          <w:rFonts w:ascii="Helvetica Neue" w:hAnsi="Helvetica Neue"/>
          <w:sz w:val="28"/>
          <w:szCs w:val="28"/>
        </w:rPr>
        <w:t>5.3%</w:t>
      </w:r>
      <w:r>
        <w:rPr>
          <w:rFonts w:hint="eastAsia"/>
          <w:sz w:val="28"/>
          <w:szCs w:val="28"/>
        </w:rPr>
        <w:t>，降幅比上月缩小</w:t>
      </w:r>
      <w:r>
        <w:rPr>
          <w:rFonts w:ascii="Helvetica Neue" w:hAnsi="Helvetica Neue"/>
          <w:sz w:val="28"/>
          <w:szCs w:val="28"/>
        </w:rPr>
        <w:t>0.6</w:t>
      </w:r>
      <w:r>
        <w:rPr>
          <w:rFonts w:hint="eastAsia"/>
          <w:sz w:val="28"/>
          <w:szCs w:val="28"/>
        </w:rPr>
        <w:t>个百分点。同比降幅收窄主要是受去年同期对比基数较低影响（去年</w:t>
      </w:r>
      <w:r>
        <w:rPr>
          <w:rFonts w:ascii="Helvetica Neue" w:hAnsi="Helvetica Neue"/>
          <w:sz w:val="28"/>
          <w:szCs w:val="28"/>
        </w:rPr>
        <w:t>1</w:t>
      </w:r>
      <w:r>
        <w:rPr>
          <w:rFonts w:hint="eastAsia"/>
          <w:sz w:val="28"/>
          <w:szCs w:val="28"/>
        </w:rPr>
        <w:t>月环比下降</w:t>
      </w:r>
      <w:r>
        <w:rPr>
          <w:rFonts w:ascii="Helvetica Neue" w:hAnsi="Helvetica Neue"/>
          <w:sz w:val="28"/>
          <w:szCs w:val="28"/>
        </w:rPr>
        <w:t>1.1%</w:t>
      </w:r>
      <w:r>
        <w:rPr>
          <w:rFonts w:hint="eastAsia"/>
          <w:sz w:val="28"/>
          <w:szCs w:val="28"/>
        </w:rPr>
        <w:t>）。分行业看，黑色金属冶炼和压延加工、石油加工、有色金属冶炼和压延加工、化学原料和化学制品制造出厂价格同比下降仍较大，分别下降</w:t>
      </w:r>
      <w:r>
        <w:rPr>
          <w:rFonts w:ascii="Helvetica Neue" w:hAnsi="Helvetica Neue"/>
          <w:sz w:val="28"/>
          <w:szCs w:val="28"/>
        </w:rPr>
        <w:t>19.0%</w:t>
      </w:r>
      <w:r>
        <w:rPr>
          <w:rFonts w:hint="eastAsia"/>
          <w:sz w:val="28"/>
          <w:szCs w:val="28"/>
        </w:rPr>
        <w:t>、</w:t>
      </w:r>
      <w:r>
        <w:rPr>
          <w:rFonts w:ascii="Helvetica Neue" w:hAnsi="Helvetica Neue"/>
          <w:sz w:val="28"/>
          <w:szCs w:val="28"/>
        </w:rPr>
        <w:t>13.5%</w:t>
      </w:r>
      <w:r>
        <w:rPr>
          <w:rFonts w:hint="eastAsia"/>
          <w:sz w:val="28"/>
          <w:szCs w:val="28"/>
        </w:rPr>
        <w:t>、</w:t>
      </w:r>
      <w:r>
        <w:rPr>
          <w:rFonts w:ascii="Helvetica Neue" w:hAnsi="Helvetica Neue"/>
          <w:sz w:val="28"/>
          <w:szCs w:val="28"/>
        </w:rPr>
        <w:t>12.1%</w:t>
      </w:r>
      <w:r>
        <w:rPr>
          <w:rFonts w:hint="eastAsia"/>
          <w:sz w:val="28"/>
          <w:szCs w:val="28"/>
        </w:rPr>
        <w:t>和</w:t>
      </w:r>
      <w:r>
        <w:rPr>
          <w:rFonts w:ascii="Helvetica Neue" w:hAnsi="Helvetica Neue"/>
          <w:sz w:val="28"/>
          <w:szCs w:val="28"/>
        </w:rPr>
        <w:t>6.3%</w:t>
      </w:r>
      <w:r>
        <w:rPr>
          <w:rFonts w:hint="eastAsia"/>
          <w:sz w:val="28"/>
          <w:szCs w:val="28"/>
        </w:rPr>
        <w:t>，合计影响当月工业生产者出厂价格总水平同比下降约</w:t>
      </w:r>
      <w:r>
        <w:rPr>
          <w:rFonts w:ascii="Helvetica Neue" w:hAnsi="Helvetica Neue"/>
          <w:sz w:val="28"/>
          <w:szCs w:val="28"/>
        </w:rPr>
        <w:t>2.8</w:t>
      </w:r>
      <w:r>
        <w:rPr>
          <w:rFonts w:hint="eastAsia"/>
          <w:sz w:val="28"/>
          <w:szCs w:val="28"/>
        </w:rPr>
        <w:t>个百分点，占总降幅的</w:t>
      </w:r>
      <w:r>
        <w:rPr>
          <w:rFonts w:ascii="Helvetica Neue" w:hAnsi="Helvetica Neue"/>
          <w:sz w:val="28"/>
          <w:szCs w:val="28"/>
        </w:rPr>
        <w:t>53%</w:t>
      </w:r>
      <w:r>
        <w:rPr>
          <w:rFonts w:hint="eastAsia"/>
          <w:sz w:val="28"/>
          <w:szCs w:val="28"/>
        </w:rPr>
        <w:t>左右。</w:t>
      </w:r>
    </w:p>
    <w:p>
      <w:pPr>
        <w:rPr>
          <w:rFonts w:ascii="Helvetica Neue" w:hAnsi="Helvetica Neue"/>
          <w:sz w:val="28"/>
          <w:szCs w:val="28"/>
        </w:rPr>
      </w:pPr>
    </w:p>
    <w:p>
      <w:pPr>
        <w:rPr>
          <w:b/>
        </w:rPr>
      </w:pPr>
      <w:r>
        <w:rPr>
          <w:rFonts w:hint="eastAsia"/>
          <w:b/>
        </w:rPr>
        <w:t>转自：国家统计局官网</w:t>
      </w:r>
    </w:p>
    <w:p>
      <w:pPr>
        <w:rPr>
          <w:rFonts w:asciiTheme="minorEastAsia" w:hAnsiTheme="minorEastAsia"/>
          <w:sz w:val="28"/>
          <w:szCs w:val="28"/>
        </w:rPr>
      </w:pPr>
    </w:p>
    <w:p>
      <w:pPr>
        <w:pStyle w:val="3"/>
        <w:jc w:val="center"/>
      </w:pPr>
      <w:bookmarkStart w:id="143" w:name="_Toc446322497"/>
      <w:bookmarkStart w:id="144" w:name="_Toc446330638"/>
      <w:bookmarkStart w:id="145" w:name="_Toc446326769"/>
      <w:bookmarkStart w:id="146" w:name="_Toc446330741"/>
      <w:bookmarkStart w:id="147" w:name="_Toc446324700"/>
      <w:r>
        <w:t>营改增打响收官之战 四大行业方案呼之欲出</w:t>
      </w:r>
      <w:bookmarkEnd w:id="143"/>
      <w:bookmarkEnd w:id="144"/>
      <w:bookmarkEnd w:id="145"/>
      <w:bookmarkEnd w:id="146"/>
      <w:bookmarkEnd w:id="147"/>
    </w:p>
    <w:p>
      <w:pPr>
        <w:ind w:firstLine="560" w:firstLineChars="200"/>
        <w:rPr>
          <w:kern w:val="0"/>
          <w:sz w:val="28"/>
          <w:szCs w:val="28"/>
        </w:rPr>
      </w:pPr>
      <w:r>
        <w:rPr>
          <w:kern w:val="0"/>
          <w:sz w:val="28"/>
          <w:szCs w:val="28"/>
        </w:rPr>
        <w:t>记者获悉，相关部门近日印发《关于做好全面推开营业税改增值税试点准备工作的通知》，标志着营改增“收官之战”正式打响。与此同时，四大行业营改增方案推出时间临近，税率、免征范围、抵扣等设计成焦点。</w:t>
      </w:r>
    </w:p>
    <w:p>
      <w:pPr>
        <w:ind w:firstLine="560" w:firstLineChars="200"/>
        <w:rPr>
          <w:rFonts w:ascii="Helvetica Neue" w:hAnsi="Helvetica Neue"/>
          <w:color w:val="3E3E3E"/>
          <w:kern w:val="0"/>
          <w:sz w:val="28"/>
          <w:szCs w:val="28"/>
        </w:rPr>
      </w:pPr>
      <w:r>
        <w:rPr>
          <w:rFonts w:ascii="Helvetica Neue" w:hAnsi="Helvetica Neue"/>
          <w:color w:val="3E3E3E"/>
          <w:kern w:val="0"/>
          <w:sz w:val="28"/>
          <w:szCs w:val="28"/>
        </w:rPr>
        <w:t>自今年政府工作报告提出，5月1日起营业税改增值税(下称“营改增”)试点范围覆盖最后四大行业之后，《第一财经日报》记者获悉，相关部门近日印发《关于做好全面推开营业税改增值税试点准备工作的通知》(下称《通知》)，标志着营改增“收官之战”正式打响。</w:t>
      </w:r>
    </w:p>
    <w:p>
      <w:pPr>
        <w:ind w:firstLine="562" w:firstLineChars="200"/>
        <w:rPr>
          <w:rFonts w:ascii="Helvetica Neue" w:hAnsi="Helvetica Neue"/>
          <w:color w:val="3E3E3E"/>
          <w:kern w:val="0"/>
          <w:sz w:val="28"/>
          <w:szCs w:val="28"/>
        </w:rPr>
      </w:pPr>
      <w:r>
        <w:rPr>
          <w:rFonts w:ascii="Helvetica Neue" w:hAnsi="Helvetica Neue"/>
          <w:b/>
          <w:bCs/>
          <w:color w:val="3E3E3E"/>
          <w:kern w:val="0"/>
          <w:sz w:val="28"/>
          <w:szCs w:val="28"/>
        </w:rPr>
        <w:t>《通知》明确提出，各省国税、地税部门要统一组织，即时开展纳税人档案交接并做好其他准备工作，确保5月1日税制转换如期实现。全面推开营改增试点政策文件将会另行发布</w:t>
      </w:r>
      <w:r>
        <w:rPr>
          <w:rFonts w:ascii="Helvetica Neue" w:hAnsi="Helvetica Neue"/>
          <w:color w:val="3E3E3E"/>
          <w:kern w:val="0"/>
          <w:sz w:val="28"/>
          <w:szCs w:val="28"/>
        </w:rPr>
        <w:t>。</w:t>
      </w:r>
    </w:p>
    <w:p>
      <w:pPr>
        <w:ind w:firstLine="560" w:firstLineChars="200"/>
        <w:rPr>
          <w:rFonts w:ascii="Helvetica Neue" w:hAnsi="Helvetica Neue"/>
          <w:color w:val="3E3E3E"/>
          <w:kern w:val="0"/>
          <w:sz w:val="28"/>
          <w:szCs w:val="28"/>
        </w:rPr>
      </w:pPr>
      <w:r>
        <w:rPr>
          <w:rFonts w:ascii="Helvetica Neue" w:hAnsi="Helvetica Neue"/>
          <w:color w:val="3E3E3E"/>
          <w:kern w:val="0"/>
          <w:sz w:val="28"/>
          <w:szCs w:val="28"/>
        </w:rPr>
        <w:t>普华永道中国中区流转税业务主管合伙人李军对本报记者表示，《通知》的下发就如营改增收官的“动员令”，而市场当前最关注的是四大行业营改增实施方案。</w:t>
      </w:r>
    </w:p>
    <w:p>
      <w:pPr>
        <w:ind w:firstLine="560" w:firstLineChars="200"/>
        <w:rPr>
          <w:rFonts w:ascii="Helvetica Neue" w:hAnsi="Helvetica Neue"/>
          <w:color w:val="3E3E3E"/>
          <w:kern w:val="0"/>
          <w:sz w:val="28"/>
          <w:szCs w:val="28"/>
        </w:rPr>
      </w:pPr>
      <w:r>
        <w:rPr>
          <w:rFonts w:ascii="Helvetica Neue" w:hAnsi="Helvetica Neue"/>
          <w:color w:val="3E3E3E"/>
          <w:kern w:val="0"/>
          <w:sz w:val="28"/>
          <w:szCs w:val="28"/>
        </w:rPr>
        <w:t>李军表示，目前四大行业税率基本达成共识，金融保险业将由5%的营业税改为6%的增值税，房地产和建筑业将分别由5%和3%的营业税改为11%的增值税，酒店、餐饮等生活服务业将由5%的营业税改为6%的增值税。</w:t>
      </w:r>
      <w:r>
        <w:rPr>
          <w:rFonts w:ascii="Helvetica Neue" w:hAnsi="Helvetica Neue"/>
          <w:b/>
          <w:bCs/>
          <w:color w:val="3E3E3E"/>
          <w:kern w:val="0"/>
          <w:sz w:val="28"/>
          <w:szCs w:val="28"/>
        </w:rPr>
        <w:t>综合各方因素考虑，目前预计四大行业营改增方案最终推出的时间最有可能是在下周</w:t>
      </w:r>
      <w:r>
        <w:rPr>
          <w:rFonts w:ascii="Helvetica Neue" w:hAnsi="Helvetica Neue"/>
          <w:color w:val="3E3E3E"/>
          <w:kern w:val="0"/>
          <w:sz w:val="28"/>
          <w:szCs w:val="28"/>
        </w:rPr>
        <w:t>。</w:t>
      </w:r>
    </w:p>
    <w:p>
      <w:pPr>
        <w:ind w:firstLine="560" w:firstLineChars="200"/>
        <w:rPr>
          <w:rFonts w:ascii="Helvetica Neue" w:hAnsi="Helvetica Neue"/>
          <w:color w:val="3E3E3E"/>
          <w:kern w:val="0"/>
          <w:sz w:val="28"/>
          <w:szCs w:val="28"/>
        </w:rPr>
      </w:pPr>
    </w:p>
    <w:p>
      <w:pPr>
        <w:ind w:firstLine="562" w:firstLineChars="200"/>
        <w:rPr>
          <w:rFonts w:ascii="Helvetica Neue" w:hAnsi="Helvetica Neue"/>
          <w:color w:val="3E3E3E"/>
          <w:kern w:val="0"/>
          <w:sz w:val="28"/>
          <w:szCs w:val="28"/>
        </w:rPr>
      </w:pPr>
      <w:r>
        <w:rPr>
          <w:rFonts w:ascii="Helvetica Neue" w:hAnsi="Helvetica Neue"/>
          <w:b/>
          <w:bCs/>
          <w:color w:val="FF6827"/>
          <w:kern w:val="0"/>
          <w:sz w:val="28"/>
          <w:szCs w:val="28"/>
        </w:rPr>
        <w:t>收官战正式开打</w:t>
      </w:r>
    </w:p>
    <w:p>
      <w:pPr>
        <w:ind w:firstLine="560" w:firstLineChars="200"/>
        <w:rPr>
          <w:rFonts w:ascii="Helvetica Neue" w:hAnsi="Helvetica Neue"/>
          <w:color w:val="3E3E3E"/>
          <w:kern w:val="0"/>
          <w:sz w:val="28"/>
          <w:szCs w:val="28"/>
        </w:rPr>
      </w:pPr>
      <w:r>
        <w:rPr>
          <w:rFonts w:ascii="Helvetica Neue" w:hAnsi="Helvetica Neue"/>
          <w:color w:val="3E3E3E"/>
          <w:kern w:val="0"/>
          <w:sz w:val="28"/>
          <w:szCs w:val="28"/>
        </w:rPr>
        <w:t>营业税体制下，政府对企业的营业额全额征收营业税，造成了重复征税、税制效率低下等问题。而增值税顾名思义，是针对货物、劳务和服务中的“增值部分”征税，而非营业额全额，因此增值税体制更有利于促进服务业发展。</w:t>
      </w:r>
    </w:p>
    <w:p>
      <w:pPr>
        <w:ind w:firstLine="560" w:firstLineChars="200"/>
        <w:rPr>
          <w:rFonts w:ascii="Helvetica Neue" w:hAnsi="Helvetica Neue"/>
          <w:color w:val="3E3E3E"/>
          <w:kern w:val="0"/>
          <w:sz w:val="28"/>
          <w:szCs w:val="28"/>
        </w:rPr>
      </w:pPr>
      <w:r>
        <w:rPr>
          <w:rFonts w:ascii="Helvetica Neue" w:hAnsi="Helvetica Neue"/>
          <w:color w:val="3E3E3E"/>
          <w:kern w:val="0"/>
          <w:sz w:val="28"/>
          <w:szCs w:val="28"/>
        </w:rPr>
        <w:t>营改增势在必行。2012年1月，中国开始在上海启动交通运输业和部分现代服务业营改增试点，此后，试点地区由点及面再到全国，试点行业由“1+6”(交通运输业和6个现代服务业)陆续增加到“3+7”(交通运输业、邮政业、电信业和7个现代服务业)。</w:t>
      </w:r>
    </w:p>
    <w:p>
      <w:pPr>
        <w:ind w:firstLine="560" w:firstLineChars="200"/>
        <w:rPr>
          <w:rFonts w:ascii="Helvetica Neue" w:hAnsi="Helvetica Neue"/>
          <w:color w:val="3E3E3E"/>
          <w:kern w:val="0"/>
          <w:sz w:val="28"/>
          <w:szCs w:val="28"/>
        </w:rPr>
      </w:pPr>
      <w:r>
        <w:rPr>
          <w:rFonts w:ascii="Helvetica Neue" w:hAnsi="Helvetica Neue"/>
          <w:color w:val="3E3E3E"/>
          <w:kern w:val="0"/>
          <w:sz w:val="28"/>
          <w:szCs w:val="28"/>
        </w:rPr>
        <w:t>根据国税总局数据，截至2015年6月底，全国营改增试点纳税人共计509万户，营改增累计减税4848亿元。</w:t>
      </w:r>
    </w:p>
    <w:p>
      <w:pPr>
        <w:ind w:firstLine="562" w:firstLineChars="200"/>
        <w:rPr>
          <w:rFonts w:ascii="Helvetica Neue" w:hAnsi="Helvetica Neue"/>
          <w:color w:val="3E3E3E"/>
          <w:kern w:val="0"/>
          <w:sz w:val="28"/>
          <w:szCs w:val="28"/>
        </w:rPr>
      </w:pPr>
      <w:r>
        <w:rPr>
          <w:rFonts w:ascii="Helvetica Neue" w:hAnsi="Helvetica Neue"/>
          <w:b/>
          <w:bCs/>
          <w:color w:val="3E3E3E"/>
          <w:kern w:val="0"/>
          <w:sz w:val="28"/>
          <w:szCs w:val="28"/>
        </w:rPr>
        <w:t>目前尚未纳入营改增的只剩建筑业、房地产业、金融业和生活服务业四大行业</w:t>
      </w:r>
      <w:r>
        <w:rPr>
          <w:rFonts w:ascii="Helvetica Neue" w:hAnsi="Helvetica Neue"/>
          <w:color w:val="3E3E3E"/>
          <w:kern w:val="0"/>
          <w:sz w:val="28"/>
          <w:szCs w:val="28"/>
        </w:rPr>
        <w:t>。这四大行业纳税人户数众多、业务形态丰富、利益调整复杂，特别是其中房地产业、金融业的增值税制度设计更是国际难题，因此成为营改增中“最难啃的骨头”。</w:t>
      </w:r>
    </w:p>
    <w:p>
      <w:pPr>
        <w:ind w:firstLine="560" w:firstLineChars="200"/>
        <w:rPr>
          <w:rFonts w:ascii="Helvetica Neue" w:hAnsi="Helvetica Neue"/>
          <w:color w:val="3E3E3E"/>
          <w:kern w:val="0"/>
          <w:sz w:val="28"/>
          <w:szCs w:val="28"/>
        </w:rPr>
      </w:pPr>
      <w:r>
        <w:rPr>
          <w:rFonts w:ascii="Helvetica Neue" w:hAnsi="Helvetica Neue"/>
          <w:color w:val="3E3E3E"/>
          <w:kern w:val="0"/>
          <w:sz w:val="28"/>
          <w:szCs w:val="28"/>
        </w:rPr>
        <w:t>今年全国两会上，国务院总理李克强作政府工作报告时提出，全面实施营改增，从5月1日起，将试点范围扩大到建筑业、房地产业、金融业、生活服务业，并将所有企业新增不动产所含增值税纳入抵扣范围，确保所有行业税负只减不增。</w:t>
      </w:r>
    </w:p>
    <w:p>
      <w:pPr>
        <w:ind w:firstLine="560" w:firstLineChars="200"/>
        <w:rPr>
          <w:rFonts w:ascii="Helvetica Neue" w:hAnsi="Helvetica Neue"/>
          <w:color w:val="3E3E3E"/>
          <w:kern w:val="0"/>
          <w:sz w:val="28"/>
          <w:szCs w:val="28"/>
        </w:rPr>
      </w:pPr>
      <w:r>
        <w:rPr>
          <w:rFonts w:ascii="Helvetica Neue" w:hAnsi="Helvetica Neue"/>
          <w:color w:val="3E3E3E"/>
          <w:kern w:val="0"/>
          <w:sz w:val="28"/>
          <w:szCs w:val="28"/>
        </w:rPr>
        <w:t>财政部部长楼继伟近日答记者问时表示，总理已经宣布5月1日全面实施营改增，军令状要完成。</w:t>
      </w:r>
    </w:p>
    <w:p>
      <w:pPr>
        <w:ind w:firstLine="560" w:firstLineChars="200"/>
        <w:rPr>
          <w:rFonts w:ascii="Helvetica Neue" w:hAnsi="Helvetica Neue"/>
          <w:color w:val="3E3E3E"/>
          <w:kern w:val="0"/>
          <w:sz w:val="28"/>
          <w:szCs w:val="28"/>
        </w:rPr>
      </w:pPr>
      <w:r>
        <w:rPr>
          <w:rFonts w:ascii="Helvetica Neue" w:hAnsi="Helvetica Neue"/>
          <w:color w:val="3E3E3E"/>
          <w:kern w:val="0"/>
          <w:sz w:val="28"/>
          <w:szCs w:val="28"/>
        </w:rPr>
        <w:t>可以肯定的是，从5月1日起，建筑业、房地产业、金融业和生活服务业四大行业近1000万户纳税人将被纳入营改增，增值税将全面替代营业税，已在中国实行了二十余年的营业税退出历史舞台，而持续了四年多的营改增也将正式收官。</w:t>
      </w:r>
    </w:p>
    <w:p>
      <w:pPr>
        <w:ind w:firstLine="560" w:firstLineChars="200"/>
        <w:rPr>
          <w:rFonts w:ascii="Helvetica Neue" w:hAnsi="Helvetica Neue"/>
          <w:color w:val="3E3E3E"/>
          <w:kern w:val="0"/>
          <w:sz w:val="28"/>
          <w:szCs w:val="28"/>
        </w:rPr>
      </w:pPr>
      <w:r>
        <w:rPr>
          <w:rFonts w:ascii="Helvetica Neue" w:hAnsi="Helvetica Neue"/>
          <w:color w:val="3E3E3E"/>
          <w:kern w:val="0"/>
          <w:sz w:val="28"/>
          <w:szCs w:val="28"/>
        </w:rPr>
        <w:t>而营改增收官之战已经开打。</w:t>
      </w:r>
    </w:p>
    <w:p>
      <w:pPr>
        <w:ind w:firstLine="560" w:firstLineChars="200"/>
        <w:rPr>
          <w:rFonts w:ascii="Helvetica Neue" w:hAnsi="Helvetica Neue"/>
          <w:color w:val="3E3E3E"/>
          <w:kern w:val="0"/>
          <w:sz w:val="28"/>
          <w:szCs w:val="28"/>
        </w:rPr>
      </w:pPr>
      <w:r>
        <w:rPr>
          <w:rFonts w:ascii="Helvetica Neue" w:hAnsi="Helvetica Neue"/>
          <w:color w:val="3E3E3E"/>
          <w:kern w:val="0"/>
          <w:sz w:val="28"/>
          <w:szCs w:val="28"/>
        </w:rPr>
        <w:t>《第一财经日报》记者了解到，相关部门近日印发《通知》，要求各级财税部门按照职责分工，立即开展营改增前期准备工作，包括国税、地税部门合作做好纳税人档案交接、信息化硬件设备资源等工作，财税部门与其他行业主管部门等沟通工作。</w:t>
      </w:r>
    </w:p>
    <w:p>
      <w:pPr>
        <w:ind w:firstLine="560" w:firstLineChars="200"/>
        <w:rPr>
          <w:rFonts w:ascii="Helvetica Neue" w:hAnsi="Helvetica Neue"/>
          <w:color w:val="3E3E3E"/>
          <w:kern w:val="0"/>
          <w:sz w:val="28"/>
          <w:szCs w:val="28"/>
        </w:rPr>
      </w:pPr>
      <w:r>
        <w:rPr>
          <w:rFonts w:ascii="Helvetica Neue" w:hAnsi="Helvetica Neue"/>
          <w:color w:val="3E3E3E"/>
          <w:kern w:val="0"/>
          <w:sz w:val="28"/>
          <w:szCs w:val="28"/>
        </w:rPr>
        <w:t>建筑业也已经开始准备营改增前期工作。今年2月住建部印发《关于做好建筑业营改增建设工程计价依据调整准备工作的通知》，1月中国建筑业协会和中国建设会计学会印发《关于做好建筑业企业内部营改增准备工作的指导意见》。</w:t>
      </w:r>
    </w:p>
    <w:p>
      <w:pPr>
        <w:ind w:firstLine="560" w:firstLineChars="200"/>
        <w:rPr>
          <w:rFonts w:ascii="Helvetica Neue" w:hAnsi="Helvetica Neue"/>
          <w:color w:val="3E3E3E"/>
          <w:kern w:val="0"/>
          <w:sz w:val="28"/>
          <w:szCs w:val="28"/>
        </w:rPr>
      </w:pPr>
      <w:r>
        <w:rPr>
          <w:rFonts w:ascii="Helvetica Neue" w:hAnsi="Helvetica Neue"/>
          <w:color w:val="3E3E3E"/>
          <w:kern w:val="0"/>
          <w:sz w:val="28"/>
          <w:szCs w:val="28"/>
        </w:rPr>
        <w:t>李军告诉本报记者，自己了解到不少企业早在去年上半年已着手准备营改增前期工作。当然也存在一些企业仍在观望，等待方案出台。</w:t>
      </w:r>
    </w:p>
    <w:p>
      <w:pPr>
        <w:ind w:firstLine="562" w:firstLineChars="200"/>
        <w:rPr>
          <w:rFonts w:ascii="Helvetica Neue" w:hAnsi="Helvetica Neue"/>
          <w:color w:val="3E3E3E"/>
          <w:kern w:val="0"/>
          <w:sz w:val="28"/>
          <w:szCs w:val="28"/>
        </w:rPr>
      </w:pPr>
      <w:r>
        <w:rPr>
          <w:rFonts w:ascii="Helvetica Neue" w:hAnsi="Helvetica Neue"/>
          <w:b/>
          <w:bCs/>
          <w:color w:val="FF6827"/>
          <w:kern w:val="0"/>
          <w:sz w:val="28"/>
          <w:szCs w:val="28"/>
        </w:rPr>
        <w:t>方案如何设计成焦点</w:t>
      </w:r>
    </w:p>
    <w:p>
      <w:pPr>
        <w:ind w:firstLine="560" w:firstLineChars="200"/>
        <w:rPr>
          <w:rFonts w:ascii="Helvetica Neue" w:hAnsi="Helvetica Neue"/>
          <w:color w:val="3E3E3E"/>
          <w:kern w:val="0"/>
          <w:sz w:val="28"/>
          <w:szCs w:val="28"/>
        </w:rPr>
      </w:pPr>
      <w:r>
        <w:rPr>
          <w:rFonts w:ascii="Helvetica Neue" w:hAnsi="Helvetica Neue"/>
          <w:color w:val="3E3E3E"/>
          <w:kern w:val="0"/>
          <w:sz w:val="28"/>
          <w:szCs w:val="28"/>
        </w:rPr>
        <w:t>李军表示，虽然增值税税率方面各界达成共识，但对于某些行业的特殊问题如何处理还存在不确定性。</w:t>
      </w:r>
    </w:p>
    <w:p>
      <w:pPr>
        <w:ind w:firstLine="560" w:firstLineChars="200"/>
        <w:rPr>
          <w:rFonts w:ascii="Helvetica Neue" w:hAnsi="Helvetica Neue"/>
          <w:color w:val="3E3E3E"/>
          <w:kern w:val="0"/>
          <w:sz w:val="28"/>
          <w:szCs w:val="28"/>
        </w:rPr>
      </w:pPr>
      <w:r>
        <w:rPr>
          <w:rFonts w:ascii="Helvetica Neue" w:hAnsi="Helvetica Neue"/>
          <w:color w:val="3E3E3E"/>
          <w:kern w:val="0"/>
          <w:sz w:val="28"/>
          <w:szCs w:val="28"/>
        </w:rPr>
        <w:t>例如，在金融业的营改增整体方案中，同业间拆借利息和金融商品投资收益是否免征增值税，以及企业贷款利息是否可以抵扣进项税等是业内最关心的问题。此外，房地产行业的土地使用权是否允许抵扣问题、建筑行业的人工成本无法抵扣导致进项严重不足的问题，以及四大行业是否会有增值税汇总缴纳、是否存在过渡期政策等，都有待于营改增方案的出台予以明确。</w:t>
      </w:r>
    </w:p>
    <w:p>
      <w:pPr>
        <w:ind w:firstLine="560" w:firstLineChars="200"/>
        <w:rPr>
          <w:rFonts w:ascii="Helvetica Neue" w:hAnsi="Helvetica Neue"/>
          <w:color w:val="3E3E3E"/>
          <w:kern w:val="0"/>
          <w:sz w:val="28"/>
          <w:szCs w:val="28"/>
        </w:rPr>
      </w:pPr>
      <w:r>
        <w:rPr>
          <w:rFonts w:ascii="Helvetica Neue" w:hAnsi="Helvetica Neue"/>
          <w:color w:val="3E3E3E"/>
          <w:kern w:val="0"/>
          <w:sz w:val="28"/>
          <w:szCs w:val="28"/>
        </w:rPr>
        <w:t>楼继伟在近日答记者问时特别提出，营改增方案将会对企业新投资形成的不动产纳入抵扣，鼓励企业投资，如果企业投资量大的话，可能出现一两年不用缴纳增值税。</w:t>
      </w:r>
    </w:p>
    <w:p>
      <w:pPr>
        <w:ind w:firstLine="560" w:firstLineChars="200"/>
        <w:rPr>
          <w:rFonts w:ascii="Helvetica Neue" w:hAnsi="Helvetica Neue"/>
          <w:color w:val="3E3E3E"/>
          <w:kern w:val="0"/>
          <w:sz w:val="28"/>
          <w:szCs w:val="28"/>
        </w:rPr>
      </w:pPr>
      <w:r>
        <w:rPr>
          <w:rFonts w:ascii="Helvetica Neue" w:hAnsi="Helvetica Neue"/>
          <w:color w:val="3E3E3E"/>
          <w:kern w:val="0"/>
          <w:sz w:val="28"/>
          <w:szCs w:val="28"/>
        </w:rPr>
        <w:t>李军告诉本报记者，新投资的不动产抵扣得到明确，但是这个抵扣是当期抵扣还是分期抵扣还不清楚，如果分期抵扣，那抵扣年限为多久?这些都是之前政策制定部门和业界经常讨论的问题。</w:t>
      </w:r>
    </w:p>
    <w:p>
      <w:pPr>
        <w:ind w:firstLine="560" w:firstLineChars="200"/>
        <w:rPr>
          <w:rFonts w:ascii="Helvetica Neue" w:hAnsi="Helvetica Neue"/>
          <w:color w:val="3E3E3E"/>
          <w:kern w:val="0"/>
          <w:sz w:val="28"/>
          <w:szCs w:val="28"/>
        </w:rPr>
      </w:pPr>
      <w:r>
        <w:rPr>
          <w:rFonts w:ascii="Helvetica Neue" w:hAnsi="Helvetica Neue"/>
          <w:color w:val="3E3E3E"/>
          <w:kern w:val="0"/>
          <w:sz w:val="28"/>
          <w:szCs w:val="28"/>
        </w:rPr>
        <w:t>北京国家会计学院财税政策与应用研究所所长李旭红建议，制定四大行业的营改增细则时，应遵循三个原则：一是要尽可能保持增值税税制的规范，以充分发挥增值税中性作用，实现改革的预定目标;二是要统筹设计、合理负担，在降低企业税负的同时，要采取适当的措施缓解大规模减税对财政的冲击，保障财政收支平衡;三是平稳过渡、妥善衔接，前期试点采取了原则延续原营业税优惠政策的做法，剩余四大行业的营改增，也应按照这一原则，处理好原优惠政策的衔接，以及试点前一些老合同的过渡。</w:t>
      </w:r>
    </w:p>
    <w:p>
      <w:pPr>
        <w:ind w:firstLine="560" w:firstLineChars="200"/>
        <w:rPr>
          <w:rFonts w:ascii="Helvetica Neue" w:hAnsi="Helvetica Neue"/>
          <w:color w:val="3E3E3E"/>
          <w:kern w:val="0"/>
          <w:sz w:val="28"/>
          <w:szCs w:val="28"/>
        </w:rPr>
      </w:pPr>
      <w:r>
        <w:rPr>
          <w:rFonts w:ascii="Helvetica Neue" w:hAnsi="Helvetica Neue"/>
          <w:color w:val="3E3E3E"/>
          <w:kern w:val="0"/>
          <w:sz w:val="28"/>
          <w:szCs w:val="28"/>
        </w:rPr>
        <w:t>楼继伟在答记者问时表示，财政部去年已经提出营改增改革方案，既要考虑税率的设计应简洁，还要考虑企业的税负变化，另外要兼顾财政的承受能力，因此增值税方案设计比较复杂。</w:t>
      </w:r>
    </w:p>
    <w:p>
      <w:pPr>
        <w:ind w:firstLine="560" w:firstLineChars="200"/>
        <w:rPr>
          <w:rFonts w:ascii="Helvetica Neue" w:hAnsi="Helvetica Neue"/>
          <w:color w:val="3E3E3E"/>
          <w:kern w:val="0"/>
          <w:sz w:val="28"/>
          <w:szCs w:val="28"/>
        </w:rPr>
      </w:pPr>
    </w:p>
    <w:p>
      <w:pPr>
        <w:rPr>
          <w:b/>
        </w:rPr>
      </w:pPr>
      <w:r>
        <w:rPr>
          <w:b/>
        </w:rPr>
        <w:t>转自：第一财经日报</w:t>
      </w:r>
    </w:p>
    <w:p>
      <w:pPr>
        <w:spacing w:line="360" w:lineRule="auto"/>
        <w:jc w:val="center"/>
        <w:rPr>
          <w:rFonts w:asciiTheme="minorEastAsia" w:hAnsiTheme="minorEastAsia"/>
          <w:b/>
          <w:sz w:val="28"/>
          <w:szCs w:val="28"/>
        </w:rPr>
      </w:pPr>
    </w:p>
    <w:p>
      <w:pPr>
        <w:spacing w:line="360" w:lineRule="auto"/>
        <w:jc w:val="center"/>
        <w:rPr>
          <w:rFonts w:asciiTheme="minorEastAsia" w:hAnsiTheme="minorEastAsia"/>
          <w:b/>
          <w:sz w:val="28"/>
          <w:szCs w:val="28"/>
        </w:rPr>
      </w:pPr>
      <w:r>
        <w:rPr>
          <w:rFonts w:hint="eastAsia" w:asciiTheme="minorEastAsia" w:hAnsiTheme="minorEastAsia"/>
          <w:b/>
          <w:sz w:val="28"/>
          <w:szCs w:val="28"/>
        </w:rPr>
        <w:t>发展二十余载 国内汽车租赁业的现实与差距</w:t>
      </w:r>
    </w:p>
    <w:p>
      <w:pPr>
        <w:spacing w:line="360" w:lineRule="auto"/>
        <w:jc w:val="center"/>
        <w:rPr>
          <w:rFonts w:asciiTheme="minorEastAsia" w:hAnsiTheme="minorEastAsia"/>
          <w:b/>
          <w:sz w:val="28"/>
          <w:szCs w:val="28"/>
        </w:rPr>
      </w:pPr>
    </w:p>
    <w:p>
      <w:pPr>
        <w:spacing w:line="360" w:lineRule="auto"/>
        <w:ind w:firstLine="560" w:firstLineChars="200"/>
        <w:rPr>
          <w:sz w:val="28"/>
          <w:szCs w:val="28"/>
        </w:rPr>
      </w:pPr>
      <w:r>
        <w:rPr>
          <w:sz w:val="28"/>
          <w:szCs w:val="28"/>
        </w:rPr>
        <w:t>汽车租赁作为一种全新的消费形式，不仅可以有效地疏通汽车生产与汽车销售之间的瓶颈，而且对汽车消费市场的拓展也具有不可低估的功效。自80年代初，我国也开始涉足租车行业。但20多年的时间过去了，无数的汽车租赁商们依然望市苦叹：偌大的市场，只可惜经营环境太恶劣了。本期集中反映出目前我国汽车租赁业的现状，并就中国汽车租赁业走势进行了独到的分析。相信文中观点会引起从事汽车租赁和关注汽车租赁的读者共鸣的。</w:t>
      </w:r>
    </w:p>
    <w:p>
      <w:pPr>
        <w:spacing w:line="360" w:lineRule="auto"/>
        <w:ind w:firstLine="560" w:firstLineChars="200"/>
        <w:rPr>
          <w:sz w:val="28"/>
          <w:szCs w:val="28"/>
        </w:rPr>
      </w:pPr>
    </w:p>
    <w:p>
      <w:pPr>
        <w:spacing w:line="360" w:lineRule="auto"/>
        <w:ind w:firstLine="562" w:firstLineChars="200"/>
        <w:rPr>
          <w:sz w:val="28"/>
          <w:szCs w:val="28"/>
        </w:rPr>
      </w:pPr>
      <w:r>
        <w:rPr>
          <w:rStyle w:val="14"/>
          <w:rFonts w:ascii="Helvetica Neue" w:hAnsi="Helvetica Neue"/>
          <w:color w:val="3E3E3E"/>
          <w:sz w:val="28"/>
          <w:szCs w:val="28"/>
        </w:rPr>
        <w:t>5大理由表明现在我们还幼稚</w:t>
      </w:r>
    </w:p>
    <w:p>
      <w:pPr>
        <w:spacing w:line="360" w:lineRule="auto"/>
        <w:ind w:firstLine="560" w:firstLineChars="200"/>
        <w:rPr>
          <w:sz w:val="28"/>
          <w:szCs w:val="28"/>
        </w:rPr>
      </w:pPr>
      <w:r>
        <w:rPr>
          <w:sz w:val="28"/>
          <w:szCs w:val="28"/>
        </w:rPr>
        <w:t>与国际上成熟的租车业相比，中国汽车租赁业还处在群雄逐鹿大局未定的幼稚状态。其幼稚性体现如下：</w:t>
      </w:r>
    </w:p>
    <w:p>
      <w:pPr>
        <w:spacing w:line="360" w:lineRule="auto"/>
        <w:ind w:firstLine="560" w:firstLineChars="200"/>
        <w:rPr>
          <w:sz w:val="28"/>
          <w:szCs w:val="28"/>
        </w:rPr>
      </w:pPr>
    </w:p>
    <w:p>
      <w:pPr>
        <w:spacing w:line="360" w:lineRule="auto"/>
        <w:ind w:firstLine="562" w:firstLineChars="200"/>
        <w:rPr>
          <w:rFonts w:ascii="Helvetica Neue" w:hAnsi="Helvetica Neue"/>
          <w:b/>
          <w:bCs/>
          <w:color w:val="3E3E3E"/>
          <w:sz w:val="28"/>
          <w:szCs w:val="28"/>
        </w:rPr>
      </w:pPr>
      <w:r>
        <w:rPr>
          <w:rStyle w:val="14"/>
          <w:rFonts w:ascii="Helvetica Neue" w:hAnsi="Helvetica Neue"/>
          <w:color w:val="3E3E3E"/>
          <w:sz w:val="28"/>
          <w:szCs w:val="28"/>
        </w:rPr>
        <w:t>首先，发展时间短。</w:t>
      </w:r>
    </w:p>
    <w:p>
      <w:pPr>
        <w:spacing w:line="360" w:lineRule="auto"/>
        <w:ind w:firstLine="560" w:firstLineChars="200"/>
        <w:rPr>
          <w:sz w:val="28"/>
          <w:szCs w:val="28"/>
        </w:rPr>
      </w:pPr>
      <w:r>
        <w:rPr>
          <w:sz w:val="28"/>
          <w:szCs w:val="28"/>
        </w:rPr>
        <w:t>与欧美等发达国家相比，中国的汽车租赁业还只是一个婴儿。从1981年中国成立第一个租赁公司中国东方租赁有限公司起至今虽然已有30多年的时间，但是前十年，全国也只相继成立了十几家租赁公司，其中上海仅有四家，直到1992年，上海新成立的租赁公司也仅10余家。只是从1993年以后，汽车租赁公司才逐步发展起来。</w:t>
      </w:r>
    </w:p>
    <w:p>
      <w:pPr>
        <w:spacing w:line="360" w:lineRule="auto"/>
        <w:ind w:firstLine="560" w:firstLineChars="200"/>
        <w:rPr>
          <w:sz w:val="28"/>
          <w:szCs w:val="28"/>
        </w:rPr>
      </w:pPr>
      <w:r>
        <w:rPr>
          <w:sz w:val="28"/>
          <w:szCs w:val="28"/>
        </w:rPr>
        <w:t>严格地说，中国汽车租赁业的产生与发展，也就是最近10年左右的事，一般认为是从1989年亚运会时才起步。世界第一家汽车租赁公司成立于1918年，至今已经有了80多年的发展。当中国的汽车租赁业还在襁褓中嗷嗷待哺时，国外的同行已经长成一个凶蛮的壮汉。</w:t>
      </w:r>
    </w:p>
    <w:p>
      <w:pPr>
        <w:spacing w:line="360" w:lineRule="auto"/>
        <w:ind w:firstLine="562" w:firstLineChars="200"/>
        <w:rPr>
          <w:rStyle w:val="14"/>
          <w:rFonts w:ascii="Helvetica Neue" w:hAnsi="Helvetica Neue"/>
          <w:color w:val="3E3E3E"/>
          <w:sz w:val="28"/>
          <w:szCs w:val="28"/>
        </w:rPr>
      </w:pPr>
    </w:p>
    <w:p>
      <w:pPr>
        <w:spacing w:line="360" w:lineRule="auto"/>
        <w:ind w:firstLine="562" w:firstLineChars="200"/>
        <w:rPr>
          <w:sz w:val="28"/>
          <w:szCs w:val="28"/>
        </w:rPr>
      </w:pPr>
      <w:r>
        <w:rPr>
          <w:rStyle w:val="14"/>
          <w:rFonts w:ascii="Helvetica Neue" w:hAnsi="Helvetica Neue"/>
          <w:color w:val="3E3E3E"/>
          <w:sz w:val="28"/>
          <w:szCs w:val="28"/>
        </w:rPr>
        <w:t>其次，企业多规模小，缺乏抗风险能力。</w:t>
      </w:r>
    </w:p>
    <w:p>
      <w:pPr>
        <w:spacing w:line="360" w:lineRule="auto"/>
        <w:ind w:firstLine="560" w:firstLineChars="200"/>
        <w:rPr>
          <w:sz w:val="28"/>
          <w:szCs w:val="28"/>
        </w:rPr>
      </w:pPr>
      <w:r>
        <w:rPr>
          <w:sz w:val="28"/>
          <w:szCs w:val="28"/>
        </w:rPr>
        <w:t>最近7～8年来，汽车租赁企业在全国范围内如雨后春笋般产生。据有关部门统计，目前全国从事汽车租赁服务的企业已经达到30000家左右，但租赁车辆总数只有50万辆左右。绝大部分企业的规模都很小，二三十辆车比较常见，就连国内的龙头神州租车数量不过13万俩而已，而且不少还是最近三年批量采购的，上海是国内汽车租赁业发展最早，租赁汽车最多的城市，但上海市交通委运输管理处副处长马斐向澎湃新闻透露，上海有正规资质的汽车租赁企业仅36家，可提供1.4万辆各种类型的载客汽车。</w:t>
      </w:r>
    </w:p>
    <w:p>
      <w:pPr>
        <w:spacing w:line="360" w:lineRule="auto"/>
        <w:ind w:firstLine="560" w:firstLineChars="200"/>
        <w:rPr>
          <w:sz w:val="28"/>
          <w:szCs w:val="28"/>
        </w:rPr>
      </w:pPr>
    </w:p>
    <w:p>
      <w:pPr>
        <w:spacing w:line="360" w:lineRule="auto"/>
        <w:ind w:firstLine="562" w:firstLineChars="200"/>
        <w:rPr>
          <w:sz w:val="28"/>
          <w:szCs w:val="28"/>
        </w:rPr>
      </w:pPr>
      <w:r>
        <w:rPr>
          <w:rStyle w:val="14"/>
          <w:rFonts w:ascii="Helvetica Neue" w:hAnsi="Helvetica Neue"/>
          <w:color w:val="3E3E3E"/>
          <w:sz w:val="28"/>
          <w:szCs w:val="28"/>
        </w:rPr>
        <w:t>第三，产业关联性差。</w:t>
      </w:r>
    </w:p>
    <w:p>
      <w:pPr>
        <w:spacing w:line="360" w:lineRule="auto"/>
        <w:ind w:firstLine="560" w:firstLineChars="200"/>
        <w:rPr>
          <w:sz w:val="28"/>
          <w:szCs w:val="28"/>
        </w:rPr>
      </w:pPr>
      <w:r>
        <w:rPr>
          <w:sz w:val="28"/>
          <w:szCs w:val="28"/>
        </w:rPr>
        <w:t>欧美国家的大型汽车租赁企业都与汽车生产企业、汽车销售企业、金融企业、旅游企业有紧密的联系。他们之间或者互相控股参股，或者汽车租赁企业本身就具备前后关联企业的某些功能。而国内的汽车租赁企业绝大多数功能单一，孤军奋战。既难以形成规模，也无法整合成关联资源优势。</w:t>
      </w:r>
    </w:p>
    <w:p>
      <w:pPr>
        <w:spacing w:line="360" w:lineRule="auto"/>
        <w:ind w:firstLine="560" w:firstLineChars="200"/>
        <w:rPr>
          <w:sz w:val="28"/>
          <w:szCs w:val="28"/>
        </w:rPr>
      </w:pPr>
    </w:p>
    <w:p>
      <w:pPr>
        <w:spacing w:line="360" w:lineRule="auto"/>
        <w:ind w:firstLine="562" w:firstLineChars="200"/>
        <w:rPr>
          <w:sz w:val="28"/>
          <w:szCs w:val="28"/>
        </w:rPr>
      </w:pPr>
      <w:r>
        <w:rPr>
          <w:rStyle w:val="14"/>
          <w:rFonts w:ascii="Helvetica Neue" w:hAnsi="Helvetica Neue"/>
          <w:color w:val="3E3E3E"/>
          <w:sz w:val="28"/>
          <w:szCs w:val="28"/>
        </w:rPr>
        <w:t>第四，管理水平低。</w:t>
      </w:r>
    </w:p>
    <w:p>
      <w:pPr>
        <w:spacing w:line="360" w:lineRule="auto"/>
        <w:ind w:firstLine="560" w:firstLineChars="200"/>
        <w:rPr>
          <w:sz w:val="28"/>
          <w:szCs w:val="28"/>
        </w:rPr>
      </w:pPr>
      <w:r>
        <w:rPr>
          <w:sz w:val="28"/>
          <w:szCs w:val="28"/>
        </w:rPr>
        <w:t>一是企业自身的经营管理水平相当低，绝大部分汽车租赁企业没有自己规范的管理制度，有的企业则根本没有任何规章制度，纯粹是一种随意的人治管理。二是整个行业管理水平低。既无统一的行业规范又无系统的政策法律规范。合法经营的汽车租赁企业权益得不到有效保护。</w:t>
      </w:r>
    </w:p>
    <w:p>
      <w:pPr>
        <w:spacing w:line="360" w:lineRule="auto"/>
        <w:ind w:firstLine="560" w:firstLineChars="200"/>
        <w:rPr>
          <w:sz w:val="28"/>
          <w:szCs w:val="28"/>
        </w:rPr>
      </w:pPr>
    </w:p>
    <w:p>
      <w:pPr>
        <w:spacing w:line="360" w:lineRule="auto"/>
        <w:ind w:firstLine="562" w:firstLineChars="200"/>
        <w:rPr>
          <w:sz w:val="28"/>
          <w:szCs w:val="28"/>
        </w:rPr>
      </w:pPr>
      <w:r>
        <w:rPr>
          <w:rStyle w:val="14"/>
          <w:rFonts w:ascii="Helvetica Neue" w:hAnsi="Helvetica Neue"/>
          <w:color w:val="3E3E3E"/>
          <w:sz w:val="28"/>
          <w:szCs w:val="28"/>
        </w:rPr>
        <w:t>第五，无序竞争、恶性竞争.</w:t>
      </w:r>
    </w:p>
    <w:p>
      <w:pPr>
        <w:spacing w:line="360" w:lineRule="auto"/>
        <w:ind w:firstLine="560" w:firstLineChars="200"/>
        <w:rPr>
          <w:sz w:val="28"/>
          <w:szCs w:val="28"/>
        </w:rPr>
      </w:pPr>
      <w:r>
        <w:rPr>
          <w:sz w:val="28"/>
          <w:szCs w:val="28"/>
        </w:rPr>
        <w:t>竞争是市场经济的绝对规律，竞争促进发展，但是无序与恶性竞争是不公平竞争方式，它必然造成数败俱伤的后果，影响到整个汽车租赁产业的健康发展。例如，汽车租赁企业之间的竞争。很多人认为汽车租赁市场是一块正在快速成长的肉，于是就像蚂蚁一样蜂拥而上，纷纷注册上海汽车租赁公司，近5～6年内全国汽车租赁公司从几千家发展到几万家，这些公司为了多吃一口肉而互相撕咬。再就是汽车租赁企业与隐性汽车租赁业主之间的竞争。由于汽车租赁业务具有较大的利润空间，有些国家机构或国有企业将公务用车秘密投入租赁市场，还有些个人和企业将资金投入隐性的汽车租赁业。由于他们没有税费负担，可以把价格压得很低，形成汽车租赁业的不公平竞争。</w:t>
      </w:r>
    </w:p>
    <w:p>
      <w:pPr>
        <w:spacing w:line="360" w:lineRule="auto"/>
        <w:ind w:firstLine="560" w:firstLineChars="200"/>
        <w:rPr>
          <w:sz w:val="28"/>
          <w:szCs w:val="28"/>
        </w:rPr>
      </w:pPr>
    </w:p>
    <w:p>
      <w:pPr>
        <w:spacing w:line="360" w:lineRule="auto"/>
        <w:ind w:firstLine="562" w:firstLineChars="200"/>
        <w:rPr>
          <w:sz w:val="28"/>
          <w:szCs w:val="28"/>
        </w:rPr>
      </w:pPr>
      <w:r>
        <w:rPr>
          <w:rStyle w:val="14"/>
          <w:rFonts w:ascii="Helvetica Neue" w:hAnsi="Helvetica Neue"/>
          <w:color w:val="3E3E3E"/>
          <w:sz w:val="28"/>
          <w:szCs w:val="28"/>
        </w:rPr>
        <w:t>中国汽车租赁业5年是道坎儿</w:t>
      </w:r>
    </w:p>
    <w:p>
      <w:pPr>
        <w:spacing w:line="360" w:lineRule="auto"/>
        <w:ind w:firstLine="560" w:firstLineChars="200"/>
        <w:rPr>
          <w:sz w:val="28"/>
          <w:szCs w:val="28"/>
        </w:rPr>
      </w:pPr>
      <w:r>
        <w:rPr>
          <w:sz w:val="28"/>
          <w:szCs w:val="28"/>
        </w:rPr>
        <w:t>中国的汽车租赁产业少则5年多则10年，将完成从幼稚产业向成熟产业的过渡。从竞争中拼杀出来的少数大企业将完成对中国汽车租赁市场的瓜分。WTO将强迫中国的市场运行规则与国际接轨并经过5～10年的时间逐步磨合成功。汽车租赁企业也将在5～10年内步入规范经营的轨道。中国的各层次立法机构将在5～10年内加快速度进行法制环境的梳理和创建，国民信誉体系加快建设并逐步完善，政府职能从管理为主转变为以服务为主，汽车租赁业飞速发展的软件环境将逐步成熟。</w:t>
      </w:r>
    </w:p>
    <w:p>
      <w:pPr>
        <w:spacing w:line="360" w:lineRule="auto"/>
        <w:ind w:firstLine="560" w:firstLineChars="200"/>
        <w:rPr>
          <w:sz w:val="28"/>
          <w:szCs w:val="28"/>
        </w:rPr>
      </w:pPr>
      <w:r>
        <w:rPr>
          <w:sz w:val="28"/>
          <w:szCs w:val="28"/>
        </w:rPr>
        <w:t>全国高等级公路网络建设与路政管理将在5～10年内逐步规范，为汽车租赁业的发展提供足够的硬件环境。</w:t>
      </w:r>
    </w:p>
    <w:p>
      <w:pPr>
        <w:spacing w:line="360" w:lineRule="auto"/>
        <w:ind w:firstLine="560" w:firstLineChars="200"/>
        <w:rPr>
          <w:sz w:val="28"/>
          <w:szCs w:val="28"/>
        </w:rPr>
      </w:pPr>
      <w:r>
        <w:rPr>
          <w:sz w:val="28"/>
          <w:szCs w:val="28"/>
        </w:rPr>
        <w:t>从现在起5～10年的时间内，汽车租赁业将在趋于公正的游戏规则中引发更为残酷的竞争。除现有的和新产生的上海汽车租赁企业外，上海的汽车生产企业、国外的汽车租赁和生产企业、国内外的银行、保险、旅游等企业都将参与这场竞争。在竞争过程中不断重新洗牌，不断出现大鱼吃小鱼、快鱼吃慢鱼的企业重组；最后形成少数大企业瓜分中国汽车租赁市场的比较稳定的局面。</w:t>
      </w:r>
    </w:p>
    <w:p>
      <w:pPr>
        <w:spacing w:line="360" w:lineRule="auto"/>
        <w:ind w:firstLine="560" w:firstLineChars="200"/>
        <w:rPr>
          <w:sz w:val="28"/>
          <w:szCs w:val="28"/>
        </w:rPr>
      </w:pPr>
    </w:p>
    <w:p>
      <w:pPr>
        <w:rPr>
          <w:b/>
        </w:rPr>
      </w:pPr>
      <w:r>
        <w:rPr>
          <w:b/>
        </w:rPr>
        <w:t>转自：网络</w:t>
      </w:r>
    </w:p>
    <w:p>
      <w:pPr>
        <w:spacing w:line="360" w:lineRule="auto"/>
        <w:ind w:firstLine="560" w:firstLineChars="200"/>
        <w:rPr>
          <w:sz w:val="28"/>
          <w:szCs w:val="28"/>
        </w:rPr>
      </w:pPr>
    </w:p>
    <w:p>
      <w:pPr>
        <w:spacing w:line="360" w:lineRule="auto"/>
        <w:ind w:firstLine="560" w:firstLineChars="200"/>
        <w:rPr>
          <w:sz w:val="28"/>
          <w:szCs w:val="28"/>
        </w:rPr>
      </w:pPr>
    </w:p>
    <w:p>
      <w:pPr>
        <w:spacing w:line="360" w:lineRule="auto"/>
        <w:ind w:firstLine="560" w:firstLineChars="200"/>
        <w:rPr>
          <w:sz w:val="28"/>
          <w:szCs w:val="28"/>
        </w:rPr>
      </w:pPr>
    </w:p>
    <w:p>
      <w:pPr>
        <w:spacing w:line="360" w:lineRule="auto"/>
        <w:ind w:firstLine="560" w:firstLineChars="200"/>
        <w:rPr>
          <w:sz w:val="28"/>
          <w:szCs w:val="28"/>
        </w:rPr>
      </w:pPr>
    </w:p>
    <w:p>
      <w:pPr>
        <w:spacing w:line="360" w:lineRule="auto"/>
        <w:ind w:firstLine="560" w:firstLineChars="200"/>
        <w:rPr>
          <w:sz w:val="28"/>
          <w:szCs w:val="28"/>
        </w:rPr>
      </w:pPr>
    </w:p>
    <w:p>
      <w:pPr>
        <w:pStyle w:val="3"/>
        <w:jc w:val="center"/>
        <w:rPr>
          <w:sz w:val="28"/>
          <w:szCs w:val="28"/>
        </w:rPr>
      </w:pPr>
      <w:bookmarkStart w:id="148" w:name="_Toc446324701"/>
      <w:bookmarkStart w:id="149" w:name="_Toc446322498"/>
      <w:bookmarkStart w:id="150" w:name="_Toc446330639"/>
      <w:bookmarkStart w:id="151" w:name="_Toc446330742"/>
      <w:bookmarkStart w:id="152" w:name="_Toc446326770"/>
      <w:r>
        <w:t>警方通报"e租宝"非法集资案</w:t>
      </w:r>
      <w:bookmarkEnd w:id="148"/>
      <w:bookmarkEnd w:id="149"/>
      <w:bookmarkEnd w:id="150"/>
      <w:bookmarkEnd w:id="151"/>
      <w:bookmarkEnd w:id="152"/>
    </w:p>
    <w:p>
      <w:pPr>
        <w:ind w:firstLine="560" w:firstLineChars="200"/>
        <w:rPr>
          <w:rFonts w:asciiTheme="minorEastAsia" w:hAnsiTheme="minorEastAsia"/>
          <w:sz w:val="28"/>
          <w:szCs w:val="28"/>
        </w:rPr>
      </w:pPr>
      <w:r>
        <w:rPr>
          <w:rFonts w:asciiTheme="minorEastAsia" w:hAnsiTheme="minorEastAsia"/>
          <w:sz w:val="28"/>
          <w:szCs w:val="28"/>
        </w:rPr>
        <w:t>一年半内非法吸收资金500多亿元，受害投资人遍布全国31个省市区……1月14日，备受关注的“e租宝”平台的21名涉案人员被北京检察机关批准逮捕。其中，“e租宝”平台实际控制人、钰诚集团董事会执行局主席丁宁，涉嫌集资诈骗、非法吸收公众存款、非法持有枪支罪及其他犯罪。此外，与此案相关的一批犯罪嫌疑人也被各地检察机关批准逮捕。</w:t>
      </w:r>
    </w:p>
    <w:p>
      <w:pPr>
        <w:ind w:firstLine="560" w:firstLineChars="200"/>
        <w:rPr>
          <w:rFonts w:asciiTheme="minorEastAsia" w:hAnsiTheme="minorEastAsia"/>
          <w:sz w:val="28"/>
          <w:szCs w:val="28"/>
        </w:rPr>
      </w:pPr>
      <w:r>
        <w:rPr>
          <w:rFonts w:asciiTheme="minorEastAsia" w:hAnsiTheme="minorEastAsia"/>
          <w:sz w:val="28"/>
          <w:szCs w:val="28"/>
        </w:rPr>
        <w:t>这个曾风靡全国的网络平台真相究竟如何？钰诚集团一众高管头顶种种“光环”之下隐藏着怎样的黑幕？“新华视点”记者日前经有关部门批准，对办案民警、主要犯罪嫌疑人和受害企业进行了深入采访，还原了钰诚集团及其关联公司（以下简称“钰诚系”）利用“e租宝”非法集资的犯罪轨迹。</w:t>
      </w:r>
    </w:p>
    <w:p>
      <w:pPr>
        <w:ind w:firstLine="562" w:firstLineChars="200"/>
        <w:rPr>
          <w:rFonts w:asciiTheme="minorEastAsia" w:hAnsiTheme="minorEastAsia"/>
          <w:sz w:val="28"/>
          <w:szCs w:val="28"/>
        </w:rPr>
      </w:pPr>
      <w:r>
        <w:rPr>
          <w:rStyle w:val="14"/>
          <w:rFonts w:asciiTheme="minorEastAsia" w:hAnsiTheme="minorEastAsia"/>
          <w:color w:val="1E1E1E"/>
          <w:sz w:val="28"/>
          <w:szCs w:val="28"/>
        </w:rPr>
        <w:t>打着“网络金融”旗号非法集资500多亿</w:t>
      </w:r>
    </w:p>
    <w:p>
      <w:pPr>
        <w:ind w:firstLine="560" w:firstLineChars="200"/>
        <w:rPr>
          <w:rFonts w:asciiTheme="minorEastAsia" w:hAnsiTheme="minorEastAsia"/>
          <w:sz w:val="28"/>
          <w:szCs w:val="28"/>
        </w:rPr>
      </w:pPr>
      <w:r>
        <w:rPr>
          <w:rFonts w:asciiTheme="minorEastAsia" w:hAnsiTheme="minorEastAsia"/>
          <w:sz w:val="28"/>
          <w:szCs w:val="28"/>
        </w:rPr>
        <w:t>“e租宝”是“钰诚系”下属的金易融（北京）网络科技有限公司运营的网络平台。2014年2月，钰诚集团收购了这家公司，并对其运营的网络平台进行改造。2014年7月，钰诚集团将改造后的平台命名为“e租宝”，打着“网络金融”的旗号上线运营。</w:t>
      </w:r>
    </w:p>
    <w:p>
      <w:pPr>
        <w:ind w:firstLine="560" w:firstLineChars="200"/>
        <w:rPr>
          <w:rFonts w:asciiTheme="minorEastAsia" w:hAnsiTheme="minorEastAsia"/>
          <w:sz w:val="28"/>
          <w:szCs w:val="28"/>
        </w:rPr>
      </w:pPr>
      <w:r>
        <w:rPr>
          <w:rFonts w:asciiTheme="minorEastAsia" w:hAnsiTheme="minorEastAsia"/>
          <w:sz w:val="28"/>
          <w:szCs w:val="28"/>
        </w:rPr>
        <w:t>办案民警介绍，2015年底，多地公安部门和金融监管部门发现“e租宝”经营存在异常，随即展开调查。</w:t>
      </w:r>
    </w:p>
    <w:p>
      <w:pPr>
        <w:ind w:firstLine="560" w:firstLineChars="200"/>
        <w:rPr>
          <w:rFonts w:asciiTheme="minorEastAsia" w:hAnsiTheme="minorEastAsia"/>
          <w:sz w:val="28"/>
          <w:szCs w:val="28"/>
        </w:rPr>
      </w:pPr>
      <w:r>
        <w:rPr>
          <w:rFonts w:asciiTheme="minorEastAsia" w:hAnsiTheme="minorEastAsia"/>
          <w:sz w:val="28"/>
          <w:szCs w:val="28"/>
        </w:rPr>
        <w:t>公安机关发现，至2015年12月5日，“钰诚系”可支配流动资金持续紧张，资金链随时面临断裂危险；同时，钰诚集团已开始转移资金、销毁证据，数名高管有潜逃迹象。为了避免投资人蒙受更大损失，2015年12月8日，公安部指挥各地公安机关统一行动，对丁宁等“钰诚系”主要高管实施抓捕。</w:t>
      </w:r>
    </w:p>
    <w:p>
      <w:pPr>
        <w:ind w:firstLine="560" w:firstLineChars="200"/>
        <w:rPr>
          <w:rFonts w:asciiTheme="minorEastAsia" w:hAnsiTheme="minorEastAsia"/>
          <w:sz w:val="28"/>
          <w:szCs w:val="28"/>
        </w:rPr>
      </w:pPr>
      <w:r>
        <w:rPr>
          <w:rFonts w:asciiTheme="minorEastAsia" w:hAnsiTheme="minorEastAsia"/>
          <w:sz w:val="28"/>
          <w:szCs w:val="28"/>
        </w:rPr>
        <w:t>办案民警表示，此案案情复杂，侦查难度极大。“钰诚系”的分支机构遍布全国，涉及投资人众多，且公司财务管理混乱，经营交易数据量庞大，仅需要清查的存储公司相关数据的服务器就有200余台。为了毁灭证据，犯罪嫌疑人将1200余册证据材料装入80余个编织袋，埋藏在安徽省合肥市郊外某处6米深的地下，专案组动用两台挖掘机，历时20余个小时才将其挖出。</w:t>
      </w:r>
    </w:p>
    <w:p>
      <w:pPr>
        <w:ind w:firstLine="560" w:firstLineChars="200"/>
        <w:rPr>
          <w:rFonts w:asciiTheme="minorEastAsia" w:hAnsiTheme="minorEastAsia"/>
          <w:sz w:val="28"/>
          <w:szCs w:val="28"/>
        </w:rPr>
      </w:pPr>
      <w:r>
        <w:rPr>
          <w:rFonts w:asciiTheme="minorEastAsia" w:hAnsiTheme="minorEastAsia"/>
          <w:sz w:val="28"/>
          <w:szCs w:val="28"/>
        </w:rPr>
        <w:t>警方初步查明，“钰诚系”的顶端是在境外注册的钰诚国际控股集团有限公司，旗下有北京、上海、蚌埠等八大运营中心，并下设融资项目、“e租宝”线上销售、“e租宝”线下销售等八大业务板块，其中大部分板块都围绕着“e租宝”的运行而设置。</w:t>
      </w:r>
    </w:p>
    <w:p>
      <w:pPr>
        <w:ind w:firstLine="560" w:firstLineChars="200"/>
        <w:rPr>
          <w:rFonts w:asciiTheme="minorEastAsia" w:hAnsiTheme="minorEastAsia"/>
          <w:sz w:val="28"/>
          <w:szCs w:val="28"/>
        </w:rPr>
      </w:pPr>
      <w:r>
        <w:rPr>
          <w:rFonts w:asciiTheme="minorEastAsia" w:hAnsiTheme="minorEastAsia"/>
          <w:sz w:val="28"/>
          <w:szCs w:val="28"/>
        </w:rPr>
        <w:t>办案民警表示，从2014年7月“e租宝”上线至2015年12月被查封，“钰诚系”相关犯罪嫌疑人以高额利息为诱饵，虚构融资租赁项目，持续采用借新还旧、自我担保等方式大量非法吸收公众资金，累计交易发生额达700多亿元。警方初步查明，“e租宝”实际吸收资金500余亿元，涉及投资人约90万名。</w:t>
      </w:r>
    </w:p>
    <w:p>
      <w:pPr>
        <w:ind w:firstLine="562" w:firstLineChars="200"/>
        <w:rPr>
          <w:rFonts w:asciiTheme="minorEastAsia" w:hAnsiTheme="minorEastAsia"/>
          <w:sz w:val="28"/>
          <w:szCs w:val="28"/>
        </w:rPr>
      </w:pPr>
      <w:r>
        <w:rPr>
          <w:rStyle w:val="14"/>
          <w:rFonts w:asciiTheme="minorEastAsia" w:hAnsiTheme="minorEastAsia"/>
          <w:color w:val="1E1E1E"/>
          <w:sz w:val="28"/>
          <w:szCs w:val="28"/>
        </w:rPr>
        <w:t>假项目、假三方、假担保：三步障眼法制造骗局</w:t>
      </w:r>
    </w:p>
    <w:p>
      <w:pPr>
        <w:ind w:firstLine="560" w:firstLineChars="200"/>
        <w:rPr>
          <w:rFonts w:asciiTheme="minorEastAsia" w:hAnsiTheme="minorEastAsia"/>
          <w:sz w:val="28"/>
          <w:szCs w:val="28"/>
        </w:rPr>
      </w:pPr>
      <w:r>
        <w:rPr>
          <w:rFonts w:asciiTheme="minorEastAsia" w:hAnsiTheme="minorEastAsia"/>
          <w:sz w:val="28"/>
          <w:szCs w:val="28"/>
        </w:rPr>
        <w:t>“‘e租宝’就是一个彻头彻尾的庞氏骗局。”在看守所，昔日的钰诚国际控股集团总裁张敏说，对于“e租宝”占用投资人的资金的事，公司高管都很清楚，她现在对此非常忏悔。</w:t>
      </w:r>
    </w:p>
    <w:p>
      <w:pPr>
        <w:ind w:firstLine="560" w:firstLineChars="200"/>
        <w:rPr>
          <w:rFonts w:asciiTheme="minorEastAsia" w:hAnsiTheme="minorEastAsia"/>
          <w:sz w:val="28"/>
          <w:szCs w:val="28"/>
        </w:rPr>
      </w:pPr>
      <w:r>
        <w:rPr>
          <w:rFonts w:asciiTheme="minorEastAsia" w:hAnsiTheme="minorEastAsia"/>
          <w:sz w:val="28"/>
          <w:szCs w:val="28"/>
        </w:rPr>
        <w:t>“e租宝”对外宣称，其经营模式是由集团下属的融资租赁公司与项目公司签订协议，然后在“e租宝”平台上以债权转让的形式发标融资；融到资金后，项目公司向租赁公司支付租金，租赁公司则向投资人支付收益和本金。</w:t>
      </w:r>
    </w:p>
    <w:p>
      <w:pPr>
        <w:ind w:firstLine="560" w:firstLineChars="200"/>
        <w:rPr>
          <w:rFonts w:asciiTheme="minorEastAsia" w:hAnsiTheme="minorEastAsia"/>
          <w:sz w:val="28"/>
          <w:szCs w:val="28"/>
        </w:rPr>
      </w:pPr>
      <w:r>
        <w:rPr>
          <w:rFonts w:asciiTheme="minorEastAsia" w:hAnsiTheme="minorEastAsia"/>
          <w:sz w:val="28"/>
          <w:szCs w:val="28"/>
        </w:rPr>
        <w:t>办案民警介绍，在正常情况下，融资租赁公司赚取项目利差，而平台赚取中介费；然而，“e租宝”从一开始就是一场“空手套白狼”的骗局，其所谓的融资租赁项目根本名不副实。</w:t>
      </w:r>
    </w:p>
    <w:p>
      <w:pPr>
        <w:ind w:firstLine="560" w:firstLineChars="200"/>
        <w:rPr>
          <w:rFonts w:asciiTheme="minorEastAsia" w:hAnsiTheme="minorEastAsia"/>
          <w:sz w:val="28"/>
          <w:szCs w:val="28"/>
        </w:rPr>
      </w:pPr>
      <w:r>
        <w:rPr>
          <w:rFonts w:asciiTheme="minorEastAsia" w:hAnsiTheme="minorEastAsia"/>
          <w:sz w:val="28"/>
          <w:szCs w:val="28"/>
        </w:rPr>
        <w:t>“我们虚构融资项目，把钱转给承租人，并给承租人好处费，再把资金转入我们公司的关联公司，以达到事实挪用的目的。”丁宁说，他们前后为此花了8亿多元向项目公司和中间人买资料。</w:t>
      </w:r>
    </w:p>
    <w:p>
      <w:pPr>
        <w:ind w:firstLine="560" w:firstLineChars="200"/>
        <w:rPr>
          <w:rFonts w:asciiTheme="minorEastAsia" w:hAnsiTheme="minorEastAsia"/>
          <w:sz w:val="28"/>
          <w:szCs w:val="28"/>
        </w:rPr>
      </w:pPr>
      <w:r>
        <w:rPr>
          <w:rFonts w:asciiTheme="minorEastAsia" w:hAnsiTheme="minorEastAsia"/>
          <w:sz w:val="28"/>
          <w:szCs w:val="28"/>
        </w:rPr>
        <w:t>采访中，“钰诚系”多位高管都向记者证实了自己公司用收买企业或者注册空壳公司等方式在“e租宝”平台上虚构项目的事实。</w:t>
      </w:r>
    </w:p>
    <w:p>
      <w:pPr>
        <w:ind w:firstLine="560" w:firstLineChars="200"/>
        <w:rPr>
          <w:rFonts w:asciiTheme="minorEastAsia" w:hAnsiTheme="minorEastAsia"/>
          <w:sz w:val="28"/>
          <w:szCs w:val="28"/>
        </w:rPr>
      </w:pPr>
      <w:r>
        <w:rPr>
          <w:rFonts w:asciiTheme="minorEastAsia" w:hAnsiTheme="minorEastAsia"/>
          <w:sz w:val="28"/>
          <w:szCs w:val="28"/>
        </w:rPr>
        <w:t>“据我所知，‘e租宝’上95％的项目都是假的。”安徽钰诚融资租赁有限公司风险控制部总监雍磊称，丁宁指使专人，用融资金额的1．5％－2％向企业买来信息，他所在的部门就负责把这些企业信息填入准备好的合同里，制成虚假的项目在“e租宝”平台上线。为了让投资人增强投资信心，他们还采用了更改企业注册金等方式包装项目。</w:t>
      </w:r>
    </w:p>
    <w:p>
      <w:pPr>
        <w:ind w:firstLine="560" w:firstLineChars="200"/>
        <w:rPr>
          <w:rFonts w:asciiTheme="minorEastAsia" w:hAnsiTheme="minorEastAsia"/>
          <w:sz w:val="28"/>
          <w:szCs w:val="28"/>
        </w:rPr>
      </w:pPr>
      <w:r>
        <w:rPr>
          <w:rFonts w:asciiTheme="minorEastAsia" w:hAnsiTheme="minorEastAsia"/>
          <w:sz w:val="28"/>
          <w:szCs w:val="28"/>
        </w:rPr>
        <w:t>办案民警介绍，在目前警方已查证的207家承租公司中，只有1家与钰诚租赁发生了真实的业务。</w:t>
      </w:r>
    </w:p>
    <w:p>
      <w:pPr>
        <w:ind w:firstLine="560" w:firstLineChars="200"/>
        <w:rPr>
          <w:rFonts w:asciiTheme="minorEastAsia" w:hAnsiTheme="minorEastAsia"/>
          <w:sz w:val="28"/>
          <w:szCs w:val="28"/>
        </w:rPr>
      </w:pPr>
      <w:r>
        <w:rPr>
          <w:rFonts w:asciiTheme="minorEastAsia" w:hAnsiTheme="minorEastAsia"/>
          <w:sz w:val="28"/>
          <w:szCs w:val="28"/>
        </w:rPr>
        <w:t>有部分涉案企业甚至直到案发都被蒙在鼓里。安徽省蚌埠市某企业负责人王先生告诉记者，他的公司曾通过钰诚集团旗下的担保公司向银行贷过款，对方因此掌握了公司的营业执照、税务登记证等资料；但直到2015年底他的企业银行账户被冻结后，他才从公安机关处得知自己的公司被“e租宝”冒名挂到网上融资。“他们的做法太恶劣了，我希望公安机关严惩这种行为，还我们一个清白。”王先生气愤地说。</w:t>
      </w:r>
    </w:p>
    <w:p>
      <w:pPr>
        <w:ind w:firstLine="560" w:firstLineChars="200"/>
        <w:rPr>
          <w:rFonts w:asciiTheme="minorEastAsia" w:hAnsiTheme="minorEastAsia"/>
          <w:sz w:val="28"/>
          <w:szCs w:val="28"/>
        </w:rPr>
      </w:pPr>
      <w:r>
        <w:rPr>
          <w:rFonts w:asciiTheme="minorEastAsia" w:hAnsiTheme="minorEastAsia"/>
          <w:sz w:val="28"/>
          <w:szCs w:val="28"/>
        </w:rPr>
        <w:t>根据人民银行等部门出台的《关于促进互联网金融健康发展的指导意见》，网络平台只进行信息中介服务，不能自设资金池，不提供信用担保。据警方调查，“e租宝”将吸收来的资金以“借道”第三方支付平台的形式进入自设的资金池，相当于把资金从“左口袋”放到了“右口袋”。</w:t>
      </w:r>
    </w:p>
    <w:p>
      <w:pPr>
        <w:ind w:firstLine="560" w:firstLineChars="200"/>
        <w:rPr>
          <w:rFonts w:asciiTheme="minorEastAsia" w:hAnsiTheme="minorEastAsia"/>
          <w:sz w:val="28"/>
          <w:szCs w:val="28"/>
        </w:rPr>
      </w:pPr>
      <w:r>
        <w:rPr>
          <w:rFonts w:asciiTheme="minorEastAsia" w:hAnsiTheme="minorEastAsia"/>
          <w:sz w:val="28"/>
          <w:szCs w:val="28"/>
        </w:rPr>
        <w:t>不仅如此，钰诚集团还直接控制了3家担保公司和一家保理公司，为“e租宝”的项目担保。中国政法大学民商经济法学院教授李爱君表示，如果平台引入有关联关系的担保机构，将给债权人带来极大风险。</w:t>
      </w:r>
    </w:p>
    <w:p>
      <w:pPr>
        <w:ind w:firstLine="562" w:firstLineChars="200"/>
        <w:rPr>
          <w:rFonts w:asciiTheme="minorEastAsia" w:hAnsiTheme="minorEastAsia"/>
          <w:sz w:val="28"/>
          <w:szCs w:val="28"/>
        </w:rPr>
      </w:pPr>
      <w:r>
        <w:rPr>
          <w:rStyle w:val="14"/>
          <w:rFonts w:asciiTheme="minorEastAsia" w:hAnsiTheme="minorEastAsia"/>
          <w:color w:val="1E1E1E"/>
          <w:sz w:val="28"/>
          <w:szCs w:val="28"/>
        </w:rPr>
        <w:t>“高收益低风险”的承诺陷阱</w:t>
      </w:r>
    </w:p>
    <w:p>
      <w:pPr>
        <w:ind w:firstLine="560" w:firstLineChars="200"/>
        <w:rPr>
          <w:rFonts w:asciiTheme="minorEastAsia" w:hAnsiTheme="minorEastAsia"/>
          <w:sz w:val="28"/>
          <w:szCs w:val="28"/>
        </w:rPr>
      </w:pPr>
      <w:r>
        <w:rPr>
          <w:rFonts w:asciiTheme="minorEastAsia" w:hAnsiTheme="minorEastAsia"/>
          <w:sz w:val="28"/>
          <w:szCs w:val="28"/>
        </w:rPr>
        <w:t>“1元起投，随时赎回，高收益低风险。”这是“e租宝”广为宣传的口号。许多投资人表示，他们就是听信了“e租宝”保本保息、灵活支取的承诺才上当受骗的。记者了解到，“e租宝”共推出过6款产品，预期年化收益率在9％至14．6％之间，远高于一般银行理财产品的收益率。</w:t>
      </w:r>
    </w:p>
    <w:p>
      <w:pPr>
        <w:ind w:firstLine="560" w:firstLineChars="200"/>
        <w:rPr>
          <w:rFonts w:asciiTheme="minorEastAsia" w:hAnsiTheme="minorEastAsia"/>
          <w:sz w:val="28"/>
          <w:szCs w:val="28"/>
        </w:rPr>
      </w:pPr>
      <w:r>
        <w:rPr>
          <w:rFonts w:asciiTheme="minorEastAsia" w:hAnsiTheme="minorEastAsia"/>
          <w:sz w:val="28"/>
          <w:szCs w:val="28"/>
        </w:rPr>
        <w:t>投资人张先生表示，“e租宝”的推销人员鼓动他说，“e租宝”产品保本保息，哪怕投资的公司失败了，钱还是照样有。</w:t>
      </w:r>
    </w:p>
    <w:p>
      <w:pPr>
        <w:ind w:firstLine="560" w:firstLineChars="200"/>
        <w:rPr>
          <w:rFonts w:asciiTheme="minorEastAsia" w:hAnsiTheme="minorEastAsia"/>
          <w:sz w:val="28"/>
          <w:szCs w:val="28"/>
        </w:rPr>
      </w:pPr>
      <w:r>
        <w:rPr>
          <w:rFonts w:asciiTheme="minorEastAsia" w:hAnsiTheme="minorEastAsia"/>
          <w:sz w:val="28"/>
          <w:szCs w:val="28"/>
        </w:rPr>
        <w:t>投资人徐先生给记者算了一笔账：“我拿10万块钱比较的话，在银行放一年才赚2000多块钱；放在‘e租宝’那边的话，它承诺的利率是14．6％，放一年就能赚14000多块钱。”</w:t>
      </w:r>
    </w:p>
    <w:p>
      <w:pPr>
        <w:ind w:firstLine="560" w:firstLineChars="200"/>
        <w:rPr>
          <w:rFonts w:asciiTheme="minorEastAsia" w:hAnsiTheme="minorEastAsia"/>
          <w:sz w:val="28"/>
          <w:szCs w:val="28"/>
        </w:rPr>
      </w:pPr>
      <w:r>
        <w:rPr>
          <w:rFonts w:asciiTheme="minorEastAsia" w:hAnsiTheme="minorEastAsia"/>
          <w:sz w:val="28"/>
          <w:szCs w:val="28"/>
        </w:rPr>
        <w:t>投资人席女士则称，自己是被“e租宝”可以灵活支取的特点吸引了：“一般的理财产品不能提前支取，但‘e租宝’提前10天也可以拿出来。”</w:t>
      </w:r>
    </w:p>
    <w:p>
      <w:pPr>
        <w:ind w:firstLine="560" w:firstLineChars="200"/>
        <w:rPr>
          <w:rFonts w:asciiTheme="minorEastAsia" w:hAnsiTheme="minorEastAsia"/>
          <w:sz w:val="28"/>
          <w:szCs w:val="28"/>
        </w:rPr>
      </w:pPr>
      <w:r>
        <w:rPr>
          <w:rFonts w:asciiTheme="minorEastAsia" w:hAnsiTheme="minorEastAsia"/>
          <w:sz w:val="28"/>
          <w:szCs w:val="28"/>
        </w:rPr>
        <w:t>对此，李爱君表示，最高法在2010年出台的关于非法集资犯罪的司法解释里明确，不能用承诺回报引诱投资者。实际上，由于金融行业天然的风险性，承诺保本保息本身就违背客观规律。银监会更是明确要求，各商业银行在销售理财产品时必须进行风险提示。</w:t>
      </w:r>
    </w:p>
    <w:p>
      <w:pPr>
        <w:ind w:firstLine="560" w:firstLineChars="200"/>
        <w:rPr>
          <w:rFonts w:asciiTheme="minorEastAsia" w:hAnsiTheme="minorEastAsia"/>
          <w:sz w:val="28"/>
          <w:szCs w:val="28"/>
        </w:rPr>
      </w:pPr>
      <w:r>
        <w:rPr>
          <w:rFonts w:asciiTheme="minorEastAsia" w:hAnsiTheme="minorEastAsia"/>
          <w:sz w:val="28"/>
          <w:szCs w:val="28"/>
        </w:rPr>
        <w:t>但是，“e租宝”抓住了部分老百姓对金融知识了解不多的弱点，用虚假的承诺编织了一个“陷阱”。为了加快扩张速度，钰诚集团还在各地设立了大量分公司和代销公司，直接面对老百姓“贴身推销”。其地推人员除了推荐“e租宝”的产品外，甚至还会“热心”地为他们提供开通网银、注册平台等服务。正是在这种强大攻势下，“e租宝”仅用一年半时间，就吸引来90多万实际投资人，客户遍布全国。</w:t>
      </w:r>
    </w:p>
    <w:p>
      <w:pPr>
        <w:ind w:firstLine="562" w:firstLineChars="200"/>
        <w:rPr>
          <w:rFonts w:asciiTheme="minorEastAsia" w:hAnsiTheme="minorEastAsia"/>
          <w:sz w:val="28"/>
          <w:szCs w:val="28"/>
        </w:rPr>
      </w:pPr>
      <w:r>
        <w:rPr>
          <w:rStyle w:val="14"/>
          <w:rFonts w:asciiTheme="minorEastAsia" w:hAnsiTheme="minorEastAsia"/>
          <w:color w:val="1E1E1E"/>
          <w:sz w:val="28"/>
          <w:szCs w:val="28"/>
        </w:rPr>
        <w:t>非法吸取的巨额资金被钰诚集团自用</w:t>
      </w:r>
    </w:p>
    <w:p>
      <w:pPr>
        <w:ind w:firstLine="560" w:firstLineChars="200"/>
        <w:rPr>
          <w:rFonts w:asciiTheme="minorEastAsia" w:hAnsiTheme="minorEastAsia"/>
          <w:sz w:val="28"/>
          <w:szCs w:val="28"/>
        </w:rPr>
      </w:pPr>
      <w:r>
        <w:rPr>
          <w:rFonts w:asciiTheme="minorEastAsia" w:hAnsiTheme="minorEastAsia"/>
          <w:sz w:val="28"/>
          <w:szCs w:val="28"/>
        </w:rPr>
        <w:t>据警方调查，“钰诚系”除了将一部分吸取的资金用于还本付息外，相当一部分被用于个人挥霍、维持公司的巨额运行成本、投资不良债权以及广告炒作。</w:t>
      </w:r>
    </w:p>
    <w:p>
      <w:pPr>
        <w:ind w:firstLine="560" w:firstLineChars="200"/>
        <w:rPr>
          <w:rFonts w:asciiTheme="minorEastAsia" w:hAnsiTheme="minorEastAsia"/>
          <w:sz w:val="28"/>
          <w:szCs w:val="28"/>
        </w:rPr>
      </w:pPr>
      <w:r>
        <w:rPr>
          <w:rFonts w:asciiTheme="minorEastAsia" w:hAnsiTheme="minorEastAsia"/>
          <w:sz w:val="28"/>
          <w:szCs w:val="28"/>
        </w:rPr>
        <w:t>据多个犯罪嫌疑人供述，丁宁与数名集团女高管关系密切，其私生活极其奢侈，大肆挥霍吸来的资金。警方初步查明，丁宁赠与他人的现金、房产、车辆、奢侈品的价值达10余亿元。仅对张敏一人，丁宁除了向其赠送价值1．3亿的新加坡别墅、价值1200万的粉钻戒指、豪华轿车、名表等礼物，还先后“奖励”她5．5亿元人民币。</w:t>
      </w:r>
    </w:p>
    <w:p>
      <w:pPr>
        <w:ind w:firstLine="560" w:firstLineChars="200"/>
        <w:rPr>
          <w:rFonts w:asciiTheme="minorEastAsia" w:hAnsiTheme="minorEastAsia"/>
          <w:sz w:val="28"/>
          <w:szCs w:val="28"/>
        </w:rPr>
      </w:pPr>
      <w:r>
        <w:rPr>
          <w:rFonts w:asciiTheme="minorEastAsia" w:hAnsiTheme="minorEastAsia"/>
          <w:sz w:val="28"/>
          <w:szCs w:val="28"/>
        </w:rPr>
        <w:t>“钰诚系”的一大开支还来自高昂的员工薪金。以丁宁的弟弟丁甸为例，他原本月薪1．8万元，但调任北京后，月薪就飞涨到100万元。据张敏交代，整个集团拿着百万级年薪的高管多达80人左右，仅2015年11月，钰诚集团需发给员工的工资就有8亿元。</w:t>
      </w:r>
    </w:p>
    <w:p>
      <w:pPr>
        <w:ind w:firstLine="560" w:firstLineChars="200"/>
        <w:rPr>
          <w:rFonts w:asciiTheme="minorEastAsia" w:hAnsiTheme="minorEastAsia"/>
          <w:sz w:val="28"/>
          <w:szCs w:val="28"/>
        </w:rPr>
      </w:pPr>
      <w:r>
        <w:rPr>
          <w:rFonts w:asciiTheme="minorEastAsia" w:hAnsiTheme="minorEastAsia"/>
          <w:sz w:val="28"/>
          <w:szCs w:val="28"/>
        </w:rPr>
        <w:t>多位公司高管称，为了给公众留下“财大气粗”的印象，丁宁要求办公室几十个秘书全身穿戴奢侈品牌的制服和首饰“展示公司形象”，甚至一次就把一个奢侈品店全部买空。</w:t>
      </w:r>
    </w:p>
    <w:p>
      <w:pPr>
        <w:ind w:firstLine="560" w:firstLineChars="200"/>
        <w:rPr>
          <w:rFonts w:asciiTheme="minorEastAsia" w:hAnsiTheme="minorEastAsia"/>
          <w:sz w:val="28"/>
          <w:szCs w:val="28"/>
        </w:rPr>
      </w:pPr>
      <w:r>
        <w:rPr>
          <w:rFonts w:asciiTheme="minorEastAsia" w:hAnsiTheme="minorEastAsia"/>
          <w:sz w:val="28"/>
          <w:szCs w:val="28"/>
        </w:rPr>
        <w:t>不仅如此，2014年以来，“钰诚系”先后花费上亿元大量投放广告进行“病毒式营销”，还将张敏包装成“互联网金融第一美女总裁”，作为企业形象代言人公开出席各种活动。</w:t>
      </w:r>
    </w:p>
    <w:p>
      <w:pPr>
        <w:ind w:firstLine="560" w:firstLineChars="200"/>
        <w:rPr>
          <w:rFonts w:asciiTheme="minorEastAsia" w:hAnsiTheme="minorEastAsia"/>
          <w:sz w:val="28"/>
          <w:szCs w:val="28"/>
        </w:rPr>
      </w:pPr>
      <w:r>
        <w:rPr>
          <w:rFonts w:asciiTheme="minorEastAsia" w:hAnsiTheme="minorEastAsia"/>
          <w:sz w:val="28"/>
          <w:szCs w:val="28"/>
        </w:rPr>
        <w:t>公司的花销在水涨船高，资金回笼的压力也越来越大。雍磊说，“e租宝”只要一天没有新项目上线，丁宁就会立刻催问。</w:t>
      </w:r>
    </w:p>
    <w:p>
      <w:pPr>
        <w:ind w:firstLine="560" w:firstLineChars="200"/>
        <w:rPr>
          <w:rFonts w:asciiTheme="minorEastAsia" w:hAnsiTheme="minorEastAsia"/>
          <w:sz w:val="28"/>
          <w:szCs w:val="28"/>
        </w:rPr>
      </w:pPr>
      <w:r>
        <w:rPr>
          <w:rFonts w:asciiTheme="minorEastAsia" w:hAnsiTheme="minorEastAsia"/>
          <w:sz w:val="28"/>
          <w:szCs w:val="28"/>
        </w:rPr>
        <w:t>实际上，“钰诚系”的高管们对公司的实际状况都心知肚明。“‘e租宝’的窟窿只会越滚越大，然后在某个点集中爆发，账上没钱还给老客户，也不能还给新客户。”张敏说，自己曾在2015年9月让公司的数据中心进行测算，结果显示，“e租宝”的赎回量将在2016年1月达到9亿，此后赎回量逐月递增。</w:t>
      </w:r>
    </w:p>
    <w:p>
      <w:pPr>
        <w:ind w:firstLine="560" w:firstLineChars="200"/>
        <w:rPr>
          <w:rFonts w:asciiTheme="minorEastAsia" w:hAnsiTheme="minorEastAsia"/>
          <w:sz w:val="28"/>
          <w:szCs w:val="28"/>
        </w:rPr>
      </w:pPr>
      <w:r>
        <w:rPr>
          <w:rFonts w:asciiTheme="minorEastAsia" w:hAnsiTheme="minorEastAsia"/>
          <w:sz w:val="28"/>
          <w:szCs w:val="28"/>
        </w:rPr>
        <w:t>这个预测，与公安机关此前的分析结果非常吻合。</w:t>
      </w:r>
    </w:p>
    <w:p>
      <w:pPr>
        <w:ind w:firstLine="560" w:firstLineChars="200"/>
        <w:rPr>
          <w:rFonts w:asciiTheme="minorEastAsia" w:hAnsiTheme="minorEastAsia"/>
          <w:sz w:val="28"/>
          <w:szCs w:val="28"/>
        </w:rPr>
      </w:pPr>
      <w:r>
        <w:rPr>
          <w:rFonts w:asciiTheme="minorEastAsia" w:hAnsiTheme="minorEastAsia"/>
          <w:sz w:val="28"/>
          <w:szCs w:val="28"/>
        </w:rPr>
        <w:t>丁宁坦言，钰诚集团旗下仅有钰诚租赁、钰诚五金和钰诚新材料三家公司能产生实际的经营利润，但三家企业的总收入不足8亿，利润尚不足一亿。因此，除了靠疯狂占用“e租宝”吸收来的资金，“钰诚系”的正常收入根本不足以覆盖其庞大的开支。</w:t>
      </w:r>
    </w:p>
    <w:p>
      <w:pPr>
        <w:ind w:firstLine="562" w:firstLineChars="200"/>
        <w:rPr>
          <w:rFonts w:asciiTheme="minorEastAsia" w:hAnsiTheme="minorEastAsia"/>
          <w:sz w:val="28"/>
          <w:szCs w:val="28"/>
        </w:rPr>
      </w:pPr>
      <w:r>
        <w:rPr>
          <w:rStyle w:val="14"/>
          <w:rFonts w:asciiTheme="minorEastAsia" w:hAnsiTheme="minorEastAsia"/>
          <w:color w:val="1E1E1E"/>
          <w:sz w:val="28"/>
          <w:szCs w:val="28"/>
        </w:rPr>
        <w:t>“e租宝”涉嫌非法集资犯罪</w:t>
      </w:r>
    </w:p>
    <w:p>
      <w:pPr>
        <w:ind w:firstLine="560" w:firstLineChars="200"/>
        <w:rPr>
          <w:rFonts w:asciiTheme="minorEastAsia" w:hAnsiTheme="minorEastAsia"/>
          <w:sz w:val="28"/>
          <w:szCs w:val="28"/>
        </w:rPr>
      </w:pPr>
      <w:r>
        <w:rPr>
          <w:rFonts w:asciiTheme="minorEastAsia" w:hAnsiTheme="minorEastAsia"/>
          <w:sz w:val="28"/>
          <w:szCs w:val="28"/>
        </w:rPr>
        <w:t>根据“e租宝”案件中已经查明的种种犯罪事实，司法机关认为，犯罪嫌疑人的这些行为已经涉嫌非法吸收公众存款和集资诈骗。</w:t>
      </w:r>
    </w:p>
    <w:p>
      <w:pPr>
        <w:ind w:firstLine="560" w:firstLineChars="200"/>
        <w:rPr>
          <w:rFonts w:asciiTheme="minorEastAsia" w:hAnsiTheme="minorEastAsia"/>
          <w:sz w:val="28"/>
          <w:szCs w:val="28"/>
        </w:rPr>
      </w:pPr>
      <w:r>
        <w:rPr>
          <w:rFonts w:asciiTheme="minorEastAsia" w:hAnsiTheme="minorEastAsia"/>
          <w:sz w:val="28"/>
          <w:szCs w:val="28"/>
        </w:rPr>
        <w:t>中央财经大学法学院教授郭华介绍，非法吸收公众存款罪有4个构成要件：第一是未经有关部门批准或者假借合法的经营形式来吸存，第二是以媒介、短信、推荐会等形式公开吸存，第三是通过私募、股权等其他的手段来承诺还本付息或者回报，第四是向社会公众即不特定的人吸存。在本案中，犯罪嫌疑人利用网络平台公开向全国吸存，还对外承诺还本付息，其行为已经涉嫌非法吸收公众存款罪。</w:t>
      </w:r>
    </w:p>
    <w:p>
      <w:pPr>
        <w:ind w:firstLine="560" w:firstLineChars="200"/>
        <w:rPr>
          <w:rFonts w:asciiTheme="minorEastAsia" w:hAnsiTheme="minorEastAsia"/>
          <w:sz w:val="28"/>
          <w:szCs w:val="28"/>
        </w:rPr>
      </w:pPr>
      <w:r>
        <w:rPr>
          <w:rFonts w:asciiTheme="minorEastAsia" w:hAnsiTheme="minorEastAsia"/>
          <w:sz w:val="28"/>
          <w:szCs w:val="28"/>
        </w:rPr>
        <w:t>“对于已经构成非法吸收公众存款罪的，如果还存在挥霍性投资或者消耗性支出导致财产不能偿还的情形，就构成了集资诈骗罪。”他认为，“e租宝”案的犯罪嫌疑人投资高档车辆和住宅、向员工支付高工资等挥霍行为，体现了他们主观上非法占有投资者资金的目的，这是导致吸收来的资金不能偿还的重要原因之一，也是他们涉嫌集资诈骗罪的主要原因之一。</w:t>
      </w:r>
    </w:p>
    <w:p>
      <w:pPr>
        <w:ind w:firstLine="560" w:firstLineChars="200"/>
        <w:rPr>
          <w:rFonts w:asciiTheme="minorEastAsia" w:hAnsiTheme="minorEastAsia"/>
          <w:sz w:val="28"/>
          <w:szCs w:val="28"/>
        </w:rPr>
      </w:pPr>
      <w:r>
        <w:rPr>
          <w:rFonts w:asciiTheme="minorEastAsia" w:hAnsiTheme="minorEastAsia"/>
          <w:sz w:val="28"/>
          <w:szCs w:val="28"/>
        </w:rPr>
        <w:t>李爱君则指出，金融是一种以高风险为特征的行业，因此老百姓在投资前更需要掌握一定的金融知识，知道任何投资行为都要风险自担；而如果投资者参与的金融活动涉嫌违法犯罪，就将承担更大的风险。</w:t>
      </w:r>
    </w:p>
    <w:p>
      <w:pPr>
        <w:ind w:firstLine="562" w:firstLineChars="200"/>
        <w:rPr>
          <w:rFonts w:asciiTheme="minorEastAsia" w:hAnsiTheme="minorEastAsia"/>
          <w:sz w:val="28"/>
          <w:szCs w:val="28"/>
        </w:rPr>
      </w:pPr>
      <w:r>
        <w:rPr>
          <w:rStyle w:val="14"/>
          <w:rFonts w:asciiTheme="minorEastAsia" w:hAnsiTheme="minorEastAsia"/>
          <w:color w:val="1E1E1E"/>
          <w:sz w:val="28"/>
          <w:szCs w:val="28"/>
        </w:rPr>
        <w:t>最新进展：有关部门正在加紧取证追赃挽损</w:t>
      </w:r>
    </w:p>
    <w:p>
      <w:pPr>
        <w:ind w:firstLine="560" w:firstLineChars="200"/>
        <w:rPr>
          <w:rFonts w:asciiTheme="minorEastAsia" w:hAnsiTheme="minorEastAsia"/>
          <w:sz w:val="28"/>
          <w:szCs w:val="28"/>
        </w:rPr>
      </w:pPr>
      <w:r>
        <w:rPr>
          <w:rFonts w:asciiTheme="minorEastAsia" w:hAnsiTheme="minorEastAsia"/>
          <w:sz w:val="28"/>
          <w:szCs w:val="28"/>
        </w:rPr>
        <w:t>办案民警介绍，由于“钰诚系”的资金交易庞杂，财务管理混乱，其资金流向还在调查之中。目前，公安机关正在与银监会、人民银行等部门通力配合，加快工作进度，全力以赴进行调查取证、追赃、甄别涉案资产等工作，最大限度地挽回投资人的损失。为了便于投资人报案、完善案件处置相关信息，公安机关已经搭建起投资人信息登记平台，并将于近期挂接在公安部官方网站上启用。</w:t>
      </w:r>
    </w:p>
    <w:p>
      <w:pPr>
        <w:ind w:firstLine="560" w:firstLineChars="200"/>
        <w:rPr>
          <w:rFonts w:asciiTheme="minorEastAsia" w:hAnsiTheme="minorEastAsia"/>
          <w:sz w:val="28"/>
          <w:szCs w:val="28"/>
        </w:rPr>
      </w:pPr>
      <w:r>
        <w:rPr>
          <w:rFonts w:asciiTheme="minorEastAsia" w:hAnsiTheme="minorEastAsia"/>
          <w:sz w:val="28"/>
          <w:szCs w:val="28"/>
        </w:rPr>
        <w:t>有关部门表示，投资人应及时、主动报案、登记信息、提供证明材料，避免因不及时、不如实报案、登记而损害自身合法利益；同时，请投资人依法维权，不信谣、不传谣、不受蛊惑，不组织、参与各类非法活动。涉嫌犯罪的人员，应当积极配合调查、退缴违法所得，争取从宽处理。</w:t>
      </w:r>
    </w:p>
    <w:p>
      <w:pPr>
        <w:ind w:firstLine="560" w:firstLineChars="200"/>
        <w:rPr>
          <w:rFonts w:asciiTheme="minorEastAsia" w:hAnsiTheme="minorEastAsia"/>
          <w:sz w:val="28"/>
          <w:szCs w:val="28"/>
        </w:rPr>
      </w:pPr>
    </w:p>
    <w:p>
      <w:pPr>
        <w:rPr>
          <w:b/>
        </w:rPr>
      </w:pPr>
      <w:r>
        <w:rPr>
          <w:b/>
        </w:rPr>
        <w:t>转自：新华网</w:t>
      </w:r>
    </w:p>
    <w:p>
      <w:pPr>
        <w:ind w:firstLine="560" w:firstLineChars="200"/>
        <w:rPr>
          <w:rFonts w:asciiTheme="minorEastAsia" w:hAnsiTheme="minorEastAsia"/>
          <w:sz w:val="28"/>
          <w:szCs w:val="28"/>
        </w:rPr>
      </w:pPr>
    </w:p>
    <w:p>
      <w:pPr>
        <w:ind w:firstLine="560" w:firstLineChars="200"/>
        <w:rPr>
          <w:rFonts w:asciiTheme="minorEastAsia" w:hAnsiTheme="minorEastAsia"/>
          <w:sz w:val="28"/>
          <w:szCs w:val="28"/>
        </w:rPr>
      </w:pPr>
    </w:p>
    <w:p>
      <w:pPr>
        <w:pStyle w:val="3"/>
        <w:jc w:val="center"/>
        <w:rPr>
          <w:rFonts w:eastAsiaTheme="minorEastAsia"/>
          <w:sz w:val="28"/>
          <w:szCs w:val="28"/>
        </w:rPr>
      </w:pPr>
      <w:bookmarkStart w:id="153" w:name="_Toc446326771"/>
      <w:bookmarkStart w:id="154" w:name="_Toc446330640"/>
      <w:bookmarkStart w:id="155" w:name="_Toc446324702"/>
      <w:bookmarkStart w:id="156" w:name="_Toc446322499"/>
      <w:bookmarkStart w:id="157" w:name="_Toc446330743"/>
      <w:r>
        <w:t>租赁商务服务业完税增逾两成</w:t>
      </w:r>
      <w:bookmarkEnd w:id="153"/>
      <w:bookmarkEnd w:id="154"/>
      <w:bookmarkEnd w:id="155"/>
      <w:bookmarkEnd w:id="156"/>
      <w:bookmarkEnd w:id="157"/>
    </w:p>
    <w:p>
      <w:pPr>
        <w:spacing w:line="660" w:lineRule="exact"/>
        <w:ind w:firstLine="560" w:firstLineChars="200"/>
        <w:rPr>
          <w:rFonts w:asciiTheme="minorEastAsia" w:hAnsiTheme="minorEastAsia"/>
          <w:sz w:val="28"/>
          <w:szCs w:val="28"/>
        </w:rPr>
      </w:pPr>
      <w:r>
        <w:rPr>
          <w:rFonts w:asciiTheme="minorEastAsia" w:hAnsiTheme="minorEastAsia"/>
          <w:sz w:val="28"/>
          <w:szCs w:val="28"/>
        </w:rPr>
        <w:t>2015年，第三产业税收增长7.6%，其中租赁和商务服务业是为数不多的高增长行业，完成税收5822亿元，增长23.8%</w:t>
      </w:r>
    </w:p>
    <w:p>
      <w:pPr>
        <w:spacing w:line="660" w:lineRule="exact"/>
        <w:ind w:firstLine="560" w:firstLineChars="200"/>
        <w:rPr>
          <w:rFonts w:asciiTheme="minorEastAsia" w:hAnsiTheme="minorEastAsia"/>
          <w:sz w:val="28"/>
          <w:szCs w:val="28"/>
        </w:rPr>
      </w:pPr>
      <w:r>
        <w:rPr>
          <w:rFonts w:asciiTheme="minorEastAsia" w:hAnsiTheme="minorEastAsia"/>
          <w:sz w:val="28"/>
          <w:szCs w:val="28"/>
        </w:rPr>
        <w:t>1月26日，国家税务总局公布税收数据。2015年，在国家大力实施创新驱动战略以及支持大众创业、万众创新政策措施的推动下，我国众多产业、行业发展势头良好。</w:t>
      </w:r>
    </w:p>
    <w:p>
      <w:pPr>
        <w:spacing w:line="660" w:lineRule="exact"/>
        <w:ind w:firstLine="560" w:firstLineChars="200"/>
        <w:rPr>
          <w:rFonts w:asciiTheme="minorEastAsia" w:hAnsiTheme="minorEastAsia"/>
          <w:sz w:val="28"/>
          <w:szCs w:val="28"/>
        </w:rPr>
      </w:pPr>
      <w:r>
        <w:rPr>
          <w:rFonts w:asciiTheme="minorEastAsia" w:hAnsiTheme="minorEastAsia"/>
          <w:sz w:val="28"/>
          <w:szCs w:val="28"/>
        </w:rPr>
        <w:t>部分高端装备制造业增长较快。受经济下行、产能过剩及库存较高影响，制造业税收增长缓慢，但部分高端装备制造业得益于创新力度大，产业集聚程度高，市场竞争力强，税收增长较快，如电气机械和器材制造业税收收入完成1870亿元，增长8.3%，比制造业税收增幅高3个百分点。</w:t>
      </w:r>
    </w:p>
    <w:p>
      <w:pPr>
        <w:spacing w:line="660" w:lineRule="exact"/>
        <w:ind w:firstLine="560" w:firstLineChars="200"/>
        <w:rPr>
          <w:rFonts w:asciiTheme="minorEastAsia" w:hAnsiTheme="minorEastAsia"/>
          <w:sz w:val="28"/>
          <w:szCs w:val="28"/>
        </w:rPr>
      </w:pPr>
      <w:r>
        <w:rPr>
          <w:rFonts w:asciiTheme="minorEastAsia" w:hAnsiTheme="minorEastAsia"/>
          <w:sz w:val="28"/>
          <w:szCs w:val="28"/>
        </w:rPr>
        <w:t>医药、科研和技术服务行业增长较快。创新驱动是技术密集型行业快速增长的重要动力。2015年全国医药制造业税收收入增长13%，领先制造业增速7个多百分点；科学研究和技术服务业税收收入增长13%，大大领先于制造业税收增长水平。</w:t>
      </w:r>
    </w:p>
    <w:p>
      <w:pPr>
        <w:spacing w:line="660" w:lineRule="exact"/>
        <w:ind w:firstLine="560" w:firstLineChars="200"/>
        <w:rPr>
          <w:rFonts w:asciiTheme="minorEastAsia" w:hAnsiTheme="minorEastAsia"/>
          <w:sz w:val="28"/>
          <w:szCs w:val="28"/>
        </w:rPr>
      </w:pPr>
      <w:r>
        <w:rPr>
          <w:rFonts w:asciiTheme="minorEastAsia" w:hAnsiTheme="minorEastAsia"/>
          <w:sz w:val="28"/>
          <w:szCs w:val="28"/>
        </w:rPr>
        <w:t>新兴信息产业大幅增长。近年来，新兴信息产业快速增长，因其创新程度高、溢出效应强，日益成为引导经济结构调整的重要力量。2015年，全国软件和信息技术服务业税收完成1210亿元，增长21.2%，其中北京、广东、上海和浙江等主要集聚区份额占全国的74%，浙江税收增幅甚至高达57%。</w:t>
      </w:r>
    </w:p>
    <w:p>
      <w:pPr>
        <w:spacing w:line="660" w:lineRule="exact"/>
        <w:ind w:firstLine="560" w:firstLineChars="200"/>
        <w:rPr>
          <w:rFonts w:asciiTheme="minorEastAsia" w:hAnsiTheme="minorEastAsia"/>
          <w:sz w:val="28"/>
          <w:szCs w:val="28"/>
        </w:rPr>
      </w:pPr>
      <w:r>
        <w:rPr>
          <w:rFonts w:asciiTheme="minorEastAsia" w:hAnsiTheme="minorEastAsia"/>
          <w:sz w:val="28"/>
          <w:szCs w:val="28"/>
        </w:rPr>
        <w:t>新型服务业大幅增长。2015年，第三产业税收增长7.6%，其中租赁和商务服务业是为数不多的高增长行业，完成税收5822亿元，增长23.8%，连续3年增幅提高，企业所得税增长40.9%，显示其企业利润大幅增长。</w:t>
      </w:r>
    </w:p>
    <w:p>
      <w:pPr>
        <w:spacing w:line="660" w:lineRule="exact"/>
        <w:ind w:firstLine="560" w:firstLineChars="200"/>
        <w:rPr>
          <w:rFonts w:asciiTheme="minorEastAsia" w:hAnsiTheme="minorEastAsia"/>
          <w:sz w:val="28"/>
          <w:szCs w:val="28"/>
        </w:rPr>
      </w:pPr>
      <w:r>
        <w:rPr>
          <w:rFonts w:asciiTheme="minorEastAsia" w:hAnsiTheme="minorEastAsia"/>
          <w:sz w:val="28"/>
          <w:szCs w:val="28"/>
        </w:rPr>
        <w:t>创新创业企业大量增加。2015年，全国创新创业激情高涨，江苏省国税纳税企业新增30万户，同比增长28%；浙江省国税(不含宁波)纳税企业新增17万户，同比增长22%。杭州梦想小镇汇集了较多的电子商务、软件设计、大数据等互联网领域的创新型创业企业，2015年国税登记企业户数达295家，而2014年仅有25家，创新创业企业激增，发展势头强劲。</w:t>
      </w:r>
    </w:p>
    <w:p>
      <w:pPr>
        <w:spacing w:line="660" w:lineRule="exact"/>
        <w:ind w:firstLine="560" w:firstLineChars="200"/>
        <w:rPr>
          <w:rFonts w:asciiTheme="minorEastAsia" w:hAnsiTheme="minorEastAsia"/>
          <w:sz w:val="28"/>
          <w:szCs w:val="28"/>
        </w:rPr>
      </w:pPr>
      <w:r>
        <w:rPr>
          <w:rFonts w:asciiTheme="minorEastAsia" w:hAnsiTheme="minorEastAsia"/>
          <w:sz w:val="28"/>
          <w:szCs w:val="28"/>
        </w:rPr>
        <w:t>传统行业出现增长亮点。2015年传统行业低迷，如汽车制造业税收仅增长0.3%，但也有企业因创新而表现较好。重庆长安福特汽车税收收入扣除特殊增收后仍增长达22%，主要得益于创新驱动的产品结构转型，通过淘汰旧产能、推出新车型，盈利水平大大提升。深圳比亚迪汽车工业公司税收收入增长56.8%，企业所得税增长71.7%，在电动车领域表现显眼。</w:t>
      </w:r>
    </w:p>
    <w:p>
      <w:pPr>
        <w:spacing w:line="660" w:lineRule="exact"/>
        <w:ind w:firstLine="560" w:firstLineChars="200"/>
        <w:rPr>
          <w:rFonts w:asciiTheme="minorEastAsia" w:hAnsiTheme="minorEastAsia"/>
          <w:sz w:val="28"/>
          <w:szCs w:val="28"/>
        </w:rPr>
      </w:pPr>
    </w:p>
    <w:p>
      <w:pPr>
        <w:rPr>
          <w:b/>
        </w:rPr>
      </w:pPr>
      <w:r>
        <w:rPr>
          <w:b/>
        </w:rPr>
        <w:t>转自：法制日报</w:t>
      </w:r>
    </w:p>
    <w:p>
      <w:pPr>
        <w:spacing w:line="660" w:lineRule="exact"/>
        <w:ind w:firstLine="560" w:firstLineChars="200"/>
        <w:rPr>
          <w:rFonts w:asciiTheme="minorEastAsia" w:hAnsiTheme="minorEastAsia"/>
          <w:sz w:val="28"/>
          <w:szCs w:val="28"/>
        </w:rPr>
      </w:pPr>
    </w:p>
    <w:p>
      <w:pPr>
        <w:spacing w:line="660" w:lineRule="exact"/>
        <w:ind w:firstLine="560" w:firstLineChars="200"/>
        <w:rPr>
          <w:rFonts w:asciiTheme="minorEastAsia" w:hAnsiTheme="minorEastAsia"/>
          <w:sz w:val="28"/>
          <w:szCs w:val="28"/>
        </w:rPr>
      </w:pPr>
    </w:p>
    <w:p>
      <w:pPr>
        <w:spacing w:line="660" w:lineRule="exact"/>
        <w:ind w:firstLine="560" w:firstLineChars="200"/>
        <w:rPr>
          <w:rFonts w:asciiTheme="minorEastAsia" w:hAnsiTheme="minorEastAsia"/>
          <w:sz w:val="28"/>
          <w:szCs w:val="28"/>
        </w:rPr>
      </w:pPr>
    </w:p>
    <w:p>
      <w:pPr>
        <w:pStyle w:val="3"/>
        <w:jc w:val="center"/>
      </w:pPr>
      <w:bookmarkStart w:id="158" w:name="_Toc446326772"/>
      <w:bookmarkStart w:id="159" w:name="_Toc446322500"/>
      <w:bookmarkStart w:id="160" w:name="_Toc446330641"/>
      <w:bookmarkStart w:id="161" w:name="_Toc446324703"/>
      <w:bookmarkStart w:id="162" w:name="_Toc446330744"/>
      <w:r>
        <w:rPr>
          <w:rFonts w:hint="eastAsia"/>
        </w:rPr>
        <w:t>营改增今年全面推开企业再迎大规模减税</w:t>
      </w:r>
      <w:bookmarkEnd w:id="158"/>
      <w:bookmarkEnd w:id="159"/>
      <w:bookmarkEnd w:id="160"/>
      <w:bookmarkEnd w:id="161"/>
      <w:bookmarkEnd w:id="162"/>
    </w:p>
    <w:p>
      <w:pP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“‘营改增’作为深化财税体制改革的重头戏，前期试点已取得积极成效，今年要全面推开，进一步较大幅度减轻企业税负。”国务院总理李克强说，今年还将加大部分税目进项税抵扣力度，带来大规模减税。</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1月22日，李克强主持召开座谈会，研究全面推开“营改增”、加快财税体制改革、进一步显著减轻企业税负，调动各方积极性。他表示，这将对发展服务业尤其是科技等高端服务业、促进产业和消费升级、培育新动能、深化供给侧结构性改革发挥重要作用。</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全面推开“营改增”，将给企业带来多大利好？国家税务总局原副局长许善达曾表示，全面“营改增”的减税额度有望达到9000亿元。</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财税专家李文海告诉《每日经济新闻》记者，“营改增”经过几年试点，方向已经基本得到认可，焦点问题在于个别行业存在税率上调后抵扣过少以及央地增值税分享比例的问题。</w:t>
      </w:r>
    </w:p>
    <w:p>
      <w:pPr>
        <w:spacing w:line="360" w:lineRule="auto"/>
        <w:rPr>
          <w:rFonts w:asciiTheme="minorEastAsia" w:hAnsiTheme="minorEastAsia"/>
          <w:sz w:val="28"/>
          <w:szCs w:val="28"/>
        </w:rPr>
      </w:pPr>
    </w:p>
    <w:p>
      <w:pPr>
        <w:spacing w:line="360" w:lineRule="auto"/>
        <w:ind w:firstLine="562" w:firstLineChars="200"/>
        <w:rPr>
          <w:rFonts w:asciiTheme="minorEastAsia" w:hAnsiTheme="minorEastAsia"/>
          <w:sz w:val="28"/>
          <w:szCs w:val="28"/>
        </w:rPr>
      </w:pPr>
      <w:r>
        <w:rPr>
          <w:rStyle w:val="14"/>
          <w:rFonts w:hint="eastAsia" w:asciiTheme="minorEastAsia" w:hAnsiTheme="minorEastAsia"/>
          <w:color w:val="3E3E3E"/>
          <w:sz w:val="28"/>
          <w:szCs w:val="28"/>
        </w:rPr>
        <w:t>今年全面推进“营改增”</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2012年1月1日，上海交通运输业和部分现代服务业正式开展“营改增”试点工作。2014年上半年，李克强在《求是》杂志中明确：“2015年基本实现‘营改增’全覆盖。”</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目前建筑业、房地产业、金融业和生活服务业尚未全面纳入，实现全行业覆盖。在本次座谈会上，财政部作了汇报，北京、辽宁等11个省（区、市）政府主要负责同志先后发言，如此高规格也可见国务院推进“营改增”的决心。</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李克强说，财税体制改革牵涉面广、关注度高，对经济社会发展全局具有深刻影响。“营改增”作为深化财税体制改革的重头戏，前期试点已取得积极成效，今年要全面推开，进一步较大幅度减轻企业税负。</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他强调，通过全面推开营改增等改革举措为企业减负松绑，放水养鱼，为鼓励社会投资和促进大众创业、万众创新营造更宽松环境，推动产业转型、结构优化，在培育发展新动能中涵养宝贵税源，用短期财政收入的“减”换取持续发展势能的“增”，为经济保持中高速增长、迈向中高端水平打下坚实基础。</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官方数据显示，截至2015年6月底，全国纳入“营改增”试点的纳税人共计509万户，已累计减税4848亿元。随着改革的推进，产业链减税效果持续体现。但之所以在2015年留了四个行业的“尾巴”，也是基于现实难度。财政部税政司就曾表示，剩下四个行业户数众多、业务形态丰富、利益调整复杂，尤其是房地产业和金融业的增值税制度设计是国际难题。</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李文海解释说，我国房地产业普遍适用5%的营业税税率，建筑业适用3%的营业税税率。基于经济发展与行业现状，而“营改增”对房地产业、建筑业的增值税税率拟定为11%。</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但这两个行业普遍面临抵扣难题，“比如不动产经营者发生的购入土地、拆迁安置的成本，以及向政府缴纳的配套设施费用等，在支付时取得的是政府收费或银行转账凭据，不符合当前增值税扣税凭证的管理规定。”李文海说。</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此次座谈会上，李克强也提到，全面推开“营改增”、加快财税体制改革必须周全考虑、精心设计。今年全面推开“营改增”并加大部分税目进项税抵扣力度，将带来大规模减税，中央和地方都要采取措施落实到位。</w:t>
      </w:r>
    </w:p>
    <w:p>
      <w:pPr>
        <w:spacing w:line="360" w:lineRule="auto"/>
        <w:rPr>
          <w:rFonts w:asciiTheme="minorEastAsia" w:hAnsiTheme="minorEastAsia"/>
          <w:sz w:val="28"/>
          <w:szCs w:val="28"/>
        </w:rPr>
      </w:pPr>
    </w:p>
    <w:p>
      <w:pPr>
        <w:spacing w:line="360" w:lineRule="auto"/>
        <w:ind w:firstLine="562" w:firstLineChars="200"/>
        <w:rPr>
          <w:rFonts w:asciiTheme="minorEastAsia" w:hAnsiTheme="minorEastAsia"/>
          <w:sz w:val="28"/>
          <w:szCs w:val="28"/>
        </w:rPr>
      </w:pPr>
      <w:r>
        <w:rPr>
          <w:rStyle w:val="14"/>
          <w:rFonts w:hint="eastAsia" w:asciiTheme="minorEastAsia" w:hAnsiTheme="minorEastAsia"/>
          <w:color w:val="3E3E3E"/>
          <w:sz w:val="28"/>
          <w:szCs w:val="28"/>
        </w:rPr>
        <w:t>央地增值税分享比例调整</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“营改增”是一个减税措施，但对财政收入会造成冲击。国家税务总局原副局长许善达曾表示，全面“营改增”的减税额度有望达到9000亿元。</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国务院显然对此已有所准备，李克强表示，当前财政收支压力较大，要把应对现实挑战、推动长远发展和实施改革攻坚更加紧密结合起来。各部门、各地方要讲大局、算大账，破除利益藩篱，上下同心推进改革。</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在财政总盘子面临缩小的同时，分税制框架下的央地财政分配面临的问题更加严峻。此前“营改增”试点的现代服务业等行业，在地方收入中占比较低。而房地产等四个行业收入份额较大，“营改增”全面推开后，地方财力必然会受到较大影响。</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2015年前11个月，剩下四个行业的营业税收入实现1.75万亿元，占地方一般公共财政收入比重为23%。</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南开大学中国财税发展研究中心主任马蔡琛告诉《每日经济新闻》记者，增值税和营业税加总，占到了我国全部税收收入的40%以上。营改增之后，将呈现“一税独大”的局面。</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他说，地方税已无主体税种，现行中央与地方的分税格局难以为继，整体税制结构对单一税种严重依赖，其中风险不容忽视。</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李克强表示，全面推开“营改增”、加快财税体制改革要有利于发挥中央和地方两个积极性。通过完善中央与地方事权和财力相适应的体制机制，形成整体利益和局部利益在发展中相互融合、相互促进的良好格局。增值税分享比例在全面推开“营改增”后要做合理适度调整，引导各地因地制宜发展优势产业，增强地方财政“造血”功能，营造主动有为、竞相发展、实干兴业的氛围。</w:t>
      </w:r>
    </w:p>
    <w:p>
      <w:pPr>
        <w:spacing w:line="360" w:lineRule="auto"/>
        <w:ind w:firstLine="560" w:firstLineChars="200"/>
        <w:rPr>
          <w:rFonts w:asciiTheme="minorEastAsia" w:hAnsiTheme="minorEastAsia"/>
          <w:sz w:val="28"/>
          <w:szCs w:val="28"/>
        </w:rPr>
      </w:pPr>
      <w:r>
        <w:rPr>
          <w:rFonts w:hint="eastAsia" w:asciiTheme="minorEastAsia" w:hAnsiTheme="minorEastAsia"/>
          <w:sz w:val="28"/>
          <w:szCs w:val="28"/>
        </w:rPr>
        <w:t>据记者了解，财政部早已启动关于地方主体税种的研究，消费税、房产税和资源税等都进入考察视野。李文海说，降低企业成本是2016年中央经济工作会议明确的五大重点之一，从目前看，“营改增”全面推进已迫在眉睫，但地方主体税种还并不成熟，因此适当调整“营改增”后增值税的分享比例是一个最好的过渡方案。</w:t>
      </w:r>
    </w:p>
    <w:p>
      <w:pPr>
        <w:pStyle w:val="12"/>
        <w:shd w:val="clear" w:color="auto" w:fill="FFFFFF"/>
        <w:spacing w:before="0" w:beforeAutospacing="0" w:after="0" w:afterAutospacing="0" w:line="417" w:lineRule="atLeast"/>
        <w:rPr>
          <w:rFonts w:ascii="Helvetica Neue" w:hAnsi="Helvetica Neue"/>
          <w:color w:val="3E3E3E"/>
          <w:sz w:val="23"/>
          <w:szCs w:val="23"/>
        </w:rPr>
      </w:pPr>
      <w:r>
        <w:rPr>
          <w:rFonts w:hint="eastAsia" w:ascii="仿宋_GB2312" w:hAnsi="Helvetica Neue" w:eastAsia="仿宋_GB2312"/>
          <w:color w:val="3E3E3E"/>
          <w:sz w:val="27"/>
          <w:szCs w:val="27"/>
        </w:rPr>
        <w:br w:type="textWrapping"/>
      </w:r>
    </w:p>
    <w:p>
      <w:pPr>
        <w:rPr>
          <w:b/>
        </w:rPr>
      </w:pPr>
      <w:r>
        <w:rPr>
          <w:rFonts w:hint="eastAsia"/>
          <w:b/>
        </w:rPr>
        <w:t>转自：每日经济新闻  作者：胡健</w:t>
      </w:r>
    </w:p>
    <w:p>
      <w:pPr>
        <w:rPr>
          <w:b/>
        </w:rPr>
      </w:pPr>
    </w:p>
    <w:p>
      <w:pPr>
        <w:rPr>
          <w:b/>
        </w:rPr>
      </w:pPr>
    </w:p>
    <w:p>
      <w:pPr>
        <w:pStyle w:val="2"/>
      </w:pPr>
      <w:bookmarkStart w:id="163" w:name="_Toc446326773"/>
      <w:bookmarkStart w:id="164" w:name="_Toc446330642"/>
      <w:bookmarkStart w:id="165" w:name="_Toc446322501"/>
      <w:bookmarkStart w:id="166" w:name="_Toc446324704"/>
      <w:bookmarkStart w:id="167" w:name="_Toc446330745"/>
      <w:r>
        <w:rPr>
          <w:rFonts w:hint="eastAsia"/>
        </w:rPr>
        <w:t>热点关注</w:t>
      </w:r>
      <w:bookmarkEnd w:id="163"/>
      <w:bookmarkEnd w:id="164"/>
      <w:bookmarkEnd w:id="165"/>
      <w:bookmarkEnd w:id="166"/>
      <w:bookmarkEnd w:id="167"/>
    </w:p>
    <w:p>
      <w:pPr/>
    </w:p>
    <w:p>
      <w:pPr>
        <w:pStyle w:val="3"/>
        <w:jc w:val="center"/>
      </w:pPr>
      <w:bookmarkStart w:id="168" w:name="_Toc446330643"/>
      <w:bookmarkStart w:id="169" w:name="_Toc446326774"/>
      <w:bookmarkStart w:id="170" w:name="_Toc446322502"/>
      <w:bookmarkStart w:id="171" w:name="_Toc446330746"/>
      <w:bookmarkStart w:id="172" w:name="_Toc446324705"/>
      <w:r>
        <w:t>李克强主持召开国务院常务会议 确定金融支持工业增效升级的措施等</w:t>
      </w:r>
      <w:bookmarkEnd w:id="168"/>
      <w:bookmarkEnd w:id="169"/>
      <w:bookmarkEnd w:id="170"/>
      <w:bookmarkEnd w:id="171"/>
      <w:bookmarkEnd w:id="172"/>
    </w:p>
    <w:p>
      <w:pPr>
        <w:spacing w:line="360" w:lineRule="auto"/>
        <w:ind w:firstLine="560" w:firstLineChars="200"/>
        <w:rPr>
          <w:sz w:val="28"/>
          <w:szCs w:val="28"/>
        </w:rPr>
      </w:pPr>
      <w:r>
        <w:rPr>
          <w:sz w:val="28"/>
          <w:szCs w:val="28"/>
        </w:rPr>
        <w:t>国务院总理李克强1月27日主持召开国务院常务会议，确定金融支持工业增效升级的措施，壮大实体经济基础；决定推动《中国制造2025》与“互联网+”融合发展；决定清理规范一批政府性基金收费项目，持续为企业减负；部署全面加强农村留守儿童关爱保护。</w:t>
      </w:r>
    </w:p>
    <w:p>
      <w:pPr>
        <w:spacing w:line="360" w:lineRule="auto"/>
        <w:ind w:firstLine="560" w:firstLineChars="200"/>
        <w:rPr>
          <w:sz w:val="28"/>
          <w:szCs w:val="28"/>
        </w:rPr>
      </w:pPr>
    </w:p>
    <w:p>
      <w:pPr>
        <w:spacing w:line="360" w:lineRule="auto"/>
        <w:ind w:firstLine="560" w:firstLineChars="200"/>
        <w:rPr>
          <w:sz w:val="28"/>
          <w:szCs w:val="28"/>
        </w:rPr>
      </w:pPr>
      <w:r>
        <w:rPr>
          <w:sz w:val="28"/>
          <w:szCs w:val="28"/>
        </w:rPr>
        <w:t>会议指出，用好和创新金融工具，支持工业增效升级，是金融更好服务实体经济的重要内容。会议确定，一是引导金融机构加大对高新技术企业、重大技术装备、工业强基工程等的信贷支持，促进培育发展新动能。制定金融支持制造强国建设指导意见，发展能效贷款、排污权抵押贷款等绿色信贷。二是鼓励通过并购贷款、发行优先股和可转换债券等筹集资金开展兼并重组，推动改造传统动能。支持大企业设立产业创投基金，支持地方开展小微企业融资担保代偿补偿等业务。三是对长期亏损、失去清偿能力或环保、安全生产不达标且整改无望的企业及落后产能，坚决压缩退出相关贷款，支持化解过剩产能。四是拓宽融资渠道，鼓励扩大股权、债券等直接融资，大力发展应收账款融资。支持运作规范、偿债有保障的企业发行公司信用债调整债务结构。五是继续整顿金融服务乱收费，取消不合理收费项目，降低不合理收费标准。支持银行加快不良贷款处置，惩戒恶意逃废债务行为，防范和化解金融风险。</w:t>
      </w:r>
    </w:p>
    <w:p>
      <w:pPr>
        <w:spacing w:line="360" w:lineRule="auto"/>
        <w:ind w:firstLine="560" w:firstLineChars="200"/>
        <w:rPr>
          <w:sz w:val="28"/>
          <w:szCs w:val="28"/>
        </w:rPr>
      </w:pPr>
    </w:p>
    <w:p>
      <w:pPr>
        <w:spacing w:line="360" w:lineRule="auto"/>
        <w:ind w:firstLine="560" w:firstLineChars="200"/>
        <w:rPr>
          <w:sz w:val="28"/>
          <w:szCs w:val="28"/>
        </w:rPr>
      </w:pPr>
      <w:r>
        <w:rPr>
          <w:sz w:val="28"/>
          <w:szCs w:val="28"/>
        </w:rPr>
        <w:t>会议指出，实施《中国制造2025》对促进制造业升级等发挥了积极作用，这也是深化供给侧结构性改革的重要内容。必须坚持市场导向，引导企业适应和引领市场，在“中国制造+互联网”上尽快取得突破，实现中国制造迈向中高端。一要以推进数字化、网络化、智能化制造为抓手，加快构筑自动控制与感知技术、工业云与智能服务平台、工业互联网等制造业新基础，培育制造业新模式、新业态、新产品。二要抓紧发布智能制造、绿色制造、质量品牌提升等11个配套实施指南、行动计划或专项规划。促进大中小企业、初创企业、高校、科研院所等多方协同，加快建设制造业创新中心、“双创”平台，带动更多创新型中小企业成长。三要完善加计扣除等政策，适当加大财政投入，设立“中国制造2025”专项资金，启动一批重大标志性项目和技改工程。四要加强标准建设，面向市场多样化需求制造消费者和客户需要的高质量中高端产品。五要加强国际交流，深化中外制造业创新合作。</w:t>
      </w:r>
    </w:p>
    <w:p>
      <w:pPr>
        <w:spacing w:line="360" w:lineRule="auto"/>
        <w:ind w:firstLine="560" w:firstLineChars="200"/>
        <w:rPr>
          <w:sz w:val="28"/>
          <w:szCs w:val="28"/>
        </w:rPr>
      </w:pPr>
    </w:p>
    <w:p>
      <w:pPr>
        <w:spacing w:line="360" w:lineRule="auto"/>
        <w:ind w:firstLine="560" w:firstLineChars="200"/>
        <w:rPr>
          <w:sz w:val="28"/>
          <w:szCs w:val="28"/>
        </w:rPr>
      </w:pPr>
      <w:r>
        <w:rPr>
          <w:sz w:val="28"/>
          <w:szCs w:val="28"/>
        </w:rPr>
        <w:t>为持续清理和规范涉企收费，减轻企业负担，会议决定，从今年2月1日起，一是依法将新菜地开发建设基金和育林基金征收标准降为零，停征价格调节基金，整合归并水库移民扶持基金等7项征收对象相同、计征方式和资金用途相似的政府性基金，取消地方违规设立的政府性基金。二是将教育费附加、地方教育附加、水利建设基金的免征范围由月销售额或营业额不超过3万元的缴纳义务人，扩大到不超过10万元。免征政策长期有效。上述措施预计每年可为企业减负约260亿元。今后一般不再新设政府性基金项目，保留的全部进入目录清单，公开预决算，接受社会监督。</w:t>
      </w:r>
    </w:p>
    <w:p>
      <w:pPr>
        <w:spacing w:line="360" w:lineRule="auto"/>
        <w:ind w:firstLine="560" w:firstLineChars="200"/>
        <w:rPr>
          <w:sz w:val="28"/>
          <w:szCs w:val="28"/>
        </w:rPr>
      </w:pPr>
    </w:p>
    <w:p>
      <w:pPr>
        <w:spacing w:line="360" w:lineRule="auto"/>
        <w:ind w:firstLine="560" w:firstLineChars="200"/>
        <w:rPr>
          <w:sz w:val="28"/>
          <w:szCs w:val="28"/>
        </w:rPr>
      </w:pPr>
      <w:r>
        <w:rPr>
          <w:sz w:val="28"/>
          <w:szCs w:val="28"/>
        </w:rPr>
        <w:t>会议认为，加强关爱保护，使数千万农村留守儿童安全健康成长，是家庭和政府、社会的共同责任。会议要求，必须依法强化家庭监护主体责任，落实基层政府、村（居）委会和学校等的安全管理、监督、教育等职责，支持社工、慈善组织等社会力量参与，完善关爱服务体系。建立强制报告、干预、帮扶等机制，打击侵害留守儿童的各种违法行为。加大寄宿制学校等建设。通过推进农民工市民化、引导扶持返乡创业就业等措施，从源头上减少留守儿童。</w:t>
      </w:r>
    </w:p>
    <w:p>
      <w:pPr>
        <w:spacing w:line="360" w:lineRule="auto"/>
        <w:ind w:firstLine="560" w:firstLineChars="200"/>
        <w:rPr>
          <w:sz w:val="28"/>
          <w:szCs w:val="28"/>
        </w:rPr>
      </w:pPr>
    </w:p>
    <w:p>
      <w:pPr>
        <w:spacing w:line="360" w:lineRule="auto"/>
        <w:ind w:firstLine="560" w:firstLineChars="200"/>
        <w:rPr>
          <w:sz w:val="28"/>
          <w:szCs w:val="28"/>
        </w:rPr>
      </w:pPr>
    </w:p>
    <w:p>
      <w:pPr>
        <w:rPr>
          <w:b/>
        </w:rPr>
      </w:pPr>
      <w:r>
        <w:rPr>
          <w:rFonts w:hint="eastAsia"/>
          <w:b/>
        </w:rPr>
        <w:t>转自：中国政府网</w:t>
      </w:r>
    </w:p>
    <w:p>
      <w:pPr>
        <w:spacing w:line="360" w:lineRule="auto"/>
        <w:ind w:firstLine="562" w:firstLineChars="200"/>
        <w:rPr>
          <w:b/>
          <w:sz w:val="28"/>
          <w:szCs w:val="28"/>
        </w:rPr>
      </w:pPr>
    </w:p>
    <w:p>
      <w:pPr>
        <w:spacing w:line="360" w:lineRule="auto"/>
        <w:ind w:firstLine="562" w:firstLineChars="200"/>
        <w:rPr>
          <w:b/>
          <w:sz w:val="28"/>
          <w:szCs w:val="28"/>
        </w:rPr>
      </w:pPr>
    </w:p>
    <w:p>
      <w:pPr>
        <w:spacing w:line="360" w:lineRule="auto"/>
        <w:ind w:firstLine="562" w:firstLineChars="200"/>
        <w:rPr>
          <w:b/>
          <w:sz w:val="28"/>
          <w:szCs w:val="28"/>
        </w:rPr>
      </w:pPr>
    </w:p>
    <w:p>
      <w:pPr>
        <w:spacing w:line="360" w:lineRule="auto"/>
        <w:ind w:firstLine="562" w:firstLineChars="200"/>
        <w:rPr>
          <w:b/>
          <w:sz w:val="28"/>
          <w:szCs w:val="28"/>
        </w:rPr>
      </w:pPr>
    </w:p>
    <w:p>
      <w:pPr>
        <w:pStyle w:val="3"/>
        <w:jc w:val="center"/>
      </w:pPr>
      <w:bookmarkStart w:id="173" w:name="_Toc446324706"/>
      <w:bookmarkStart w:id="174" w:name="_Toc446330644"/>
      <w:bookmarkStart w:id="175" w:name="_Toc446326775"/>
      <w:bookmarkStart w:id="176" w:name="_Toc446322503"/>
      <w:bookmarkStart w:id="177" w:name="_Toc446330747"/>
      <w:r>
        <w:rPr>
          <w:rFonts w:hint="eastAsia"/>
        </w:rPr>
        <w:t>公安部组织建设非法集资案投资人信息登记平台开通</w:t>
      </w:r>
      <w:bookmarkEnd w:id="173"/>
      <w:bookmarkEnd w:id="174"/>
      <w:bookmarkEnd w:id="175"/>
      <w:bookmarkEnd w:id="176"/>
      <w:bookmarkEnd w:id="177"/>
    </w:p>
    <w:p>
      <w:pPr>
        <w:spacing w:line="360" w:lineRule="auto"/>
        <w:rPr>
          <w:sz w:val="28"/>
          <w:szCs w:val="28"/>
        </w:rPr>
      </w:pPr>
      <w:r>
        <w:rPr>
          <w:sz w:val="28"/>
          <w:szCs w:val="28"/>
        </w:rPr>
        <w:t>原标题：公安部组织建设非法集资案投资人信息登记平台开通</w:t>
      </w:r>
    </w:p>
    <w:p>
      <w:pPr>
        <w:spacing w:line="360" w:lineRule="auto"/>
        <w:rPr>
          <w:sz w:val="28"/>
          <w:szCs w:val="28"/>
        </w:rPr>
      </w:pPr>
      <w:r>
        <w:rPr>
          <w:sz w:val="28"/>
          <w:szCs w:val="28"/>
        </w:rPr>
        <w:t>　　2月13日从公安部获悉，公安部组织建设的非法集资案件投资人信息登记平台(网站地址：ecidcwc.mps.gov.cn)，即日起正式启用，并首先对“e租宝”及其关联公司涉嫌非法集资案件的投资人开放(登记期限为2016年2月13日至2016年5月13日)。</w:t>
      </w:r>
    </w:p>
    <w:p>
      <w:pPr>
        <w:spacing w:line="360" w:lineRule="auto"/>
        <w:ind w:firstLine="570"/>
        <w:rPr>
          <w:sz w:val="28"/>
          <w:szCs w:val="28"/>
        </w:rPr>
      </w:pPr>
      <w:r>
        <w:rPr>
          <w:sz w:val="28"/>
          <w:szCs w:val="28"/>
        </w:rPr>
        <w:t>据公安部有关部门负责人介绍，近年来互联网非法集资案件频发，特别是目前公安机关正在侦办的“e租宝”及其关联公司涉嫌非法集资案件，投资人众多、涉及地域广泛、电子数据量巨大，仅用以往取证方式处理不利于海量电子数据及时汇总、统计、核实、甄别。为利用信息化手段方便投资人登记相关信息，便于投资人与公安机关沟通联系，加快各地公安机关办案进度，尽快查清案件事实和投资情况、依法统一处置涉案资产，最大限度保护投资人合法权益，公安部组织建设了非法集资案件投资人信息登记平台。该平台具备身份和投资信息登记、登记注意事项信息发布等功能，今后还将用于公安机关公告的其他重大非法集资案件。</w:t>
      </w:r>
    </w:p>
    <w:p>
      <w:pPr>
        <w:spacing w:line="360" w:lineRule="auto"/>
        <w:ind w:firstLine="570"/>
        <w:rPr>
          <w:sz w:val="28"/>
          <w:szCs w:val="28"/>
        </w:rPr>
      </w:pPr>
    </w:p>
    <w:p>
      <w:pPr>
        <w:spacing w:line="360" w:lineRule="auto"/>
        <w:ind w:firstLine="570"/>
        <w:rPr>
          <w:sz w:val="28"/>
          <w:szCs w:val="28"/>
        </w:rPr>
      </w:pPr>
    </w:p>
    <w:p>
      <w:pPr>
        <w:rPr>
          <w:b/>
        </w:rPr>
      </w:pPr>
      <w:r>
        <w:rPr>
          <w:b/>
        </w:rPr>
        <w:t>转自：北京日报</w:t>
      </w:r>
    </w:p>
    <w:p>
      <w:pPr>
        <w:spacing w:line="360" w:lineRule="auto"/>
        <w:ind w:firstLine="562" w:firstLineChars="200"/>
        <w:rPr>
          <w:b/>
          <w:sz w:val="28"/>
          <w:szCs w:val="28"/>
        </w:rPr>
      </w:pPr>
    </w:p>
    <w:p>
      <w:pPr>
        <w:spacing w:line="360" w:lineRule="auto"/>
        <w:ind w:firstLine="562" w:firstLineChars="200"/>
        <w:rPr>
          <w:b/>
          <w:sz w:val="28"/>
          <w:szCs w:val="28"/>
        </w:rPr>
      </w:pPr>
    </w:p>
    <w:p>
      <w:pPr>
        <w:spacing w:line="360" w:lineRule="auto"/>
        <w:ind w:firstLine="562" w:firstLineChars="200"/>
        <w:rPr>
          <w:b/>
          <w:sz w:val="28"/>
          <w:szCs w:val="28"/>
        </w:rPr>
      </w:pPr>
    </w:p>
    <w:p>
      <w:pPr>
        <w:pStyle w:val="3"/>
        <w:jc w:val="center"/>
      </w:pPr>
      <w:bookmarkStart w:id="178" w:name="_Toc446324707"/>
      <w:bookmarkStart w:id="179" w:name="_Toc446330748"/>
      <w:bookmarkStart w:id="180" w:name="_Toc446330645"/>
      <w:bookmarkStart w:id="181" w:name="_Toc446326776"/>
      <w:bookmarkStart w:id="182" w:name="_Toc446322504"/>
      <w:r>
        <w:t>中国商务部长高虎城纵论开放型经济热点</w:t>
      </w:r>
      <w:bookmarkEnd w:id="178"/>
      <w:bookmarkEnd w:id="179"/>
      <w:bookmarkEnd w:id="180"/>
      <w:bookmarkEnd w:id="181"/>
      <w:bookmarkEnd w:id="182"/>
    </w:p>
    <w:p>
      <w:pPr>
        <w:rPr>
          <w:rFonts w:asciiTheme="minorEastAsia" w:hAnsiTheme="minorEastAsia"/>
          <w:sz w:val="28"/>
          <w:szCs w:val="28"/>
        </w:rPr>
      </w:pPr>
      <w:r>
        <w:rPr>
          <w:rFonts w:hint="eastAsia" w:asciiTheme="minorEastAsia" w:hAnsiTheme="minorEastAsia"/>
          <w:sz w:val="28"/>
          <w:szCs w:val="28"/>
        </w:rPr>
        <w:t>中新网北京2月20日电 (记者 石岩)如何看待去年外贸进出口“双降”？今年的外贸走势会怎样？对于未来一段时期的对外投资和吸引外资形势，中国政府作何研判？……日前，中国商务部部长高虎城接受中央主流媒体采访，针对上述开放型经济热点一一解读。</w:t>
      </w:r>
    </w:p>
    <w:p>
      <w:pPr>
        <w:rPr>
          <w:rFonts w:asciiTheme="minorEastAsia" w:hAnsiTheme="minorEastAsia"/>
          <w:sz w:val="28"/>
          <w:szCs w:val="28"/>
        </w:rPr>
      </w:pPr>
      <w:r>
        <w:rPr>
          <w:rFonts w:hint="eastAsia" w:asciiTheme="minorEastAsia" w:hAnsiTheme="minorEastAsia"/>
          <w:sz w:val="28"/>
          <w:szCs w:val="28"/>
        </w:rPr>
        <w:t>　</w:t>
      </w:r>
      <w:r>
        <w:rPr>
          <w:rStyle w:val="14"/>
          <w:rFonts w:hint="eastAsia" w:asciiTheme="minorEastAsia" w:hAnsiTheme="minorEastAsia"/>
          <w:color w:val="333333"/>
          <w:sz w:val="28"/>
          <w:szCs w:val="28"/>
        </w:rPr>
        <w:t>　谈2015年中国外贸：应是一份优等生答卷</w:t>
      </w:r>
    </w:p>
    <w:p>
      <w:pPr>
        <w:rPr>
          <w:rFonts w:asciiTheme="minorEastAsia" w:hAnsiTheme="minorEastAsia"/>
          <w:sz w:val="28"/>
          <w:szCs w:val="28"/>
        </w:rPr>
      </w:pPr>
      <w:r>
        <w:rPr>
          <w:rFonts w:hint="eastAsia" w:asciiTheme="minorEastAsia" w:hAnsiTheme="minorEastAsia"/>
          <w:sz w:val="28"/>
          <w:szCs w:val="28"/>
        </w:rPr>
        <w:t>　　“2015年，中国向国际社会交出一份满意的答卷，我个人认为是一份优等生的答卷。”谈及2015年中国外贸情况，高虎城说。</w:t>
      </w:r>
    </w:p>
    <w:p>
      <w:pPr>
        <w:rPr>
          <w:rFonts w:asciiTheme="minorEastAsia" w:hAnsiTheme="minorEastAsia"/>
          <w:sz w:val="28"/>
          <w:szCs w:val="28"/>
        </w:rPr>
      </w:pPr>
      <w:r>
        <w:rPr>
          <w:rFonts w:hint="eastAsia" w:asciiTheme="minorEastAsia" w:hAnsiTheme="minorEastAsia"/>
          <w:sz w:val="28"/>
          <w:szCs w:val="28"/>
        </w:rPr>
        <w:t>　　海关数据显示，2015年，全国进出口总值24.58万亿元人民币，同比下降7%。其中，出口下降1.8%；进口下降13.2%。</w:t>
      </w:r>
    </w:p>
    <w:p>
      <w:pPr>
        <w:rPr>
          <w:rFonts w:asciiTheme="minorEastAsia" w:hAnsiTheme="minorEastAsia"/>
          <w:sz w:val="28"/>
          <w:szCs w:val="28"/>
        </w:rPr>
      </w:pPr>
      <w:r>
        <w:rPr>
          <w:rFonts w:hint="eastAsia" w:asciiTheme="minorEastAsia" w:hAnsiTheme="minorEastAsia"/>
          <w:sz w:val="28"/>
          <w:szCs w:val="28"/>
        </w:rPr>
        <w:t>　　“外贸是国与国之间的贸易，评价外贸运行情况，必须放在国际大背景下考虑。”高虎城说，2015年全球贸易都在“迅速下降”。根据目前世贸组织公布的2015年全球73个主要经济体(占全球贸易总额90%以上)的情况来看，全球贸易出口2015年下降11.1%，进口下降12.56%。</w:t>
      </w:r>
    </w:p>
    <w:p>
      <w:pPr>
        <w:rPr>
          <w:rFonts w:asciiTheme="minorEastAsia" w:hAnsiTheme="minorEastAsia"/>
          <w:sz w:val="28"/>
          <w:szCs w:val="28"/>
        </w:rPr>
      </w:pPr>
      <w:r>
        <w:rPr>
          <w:rFonts w:hint="eastAsia" w:asciiTheme="minorEastAsia" w:hAnsiTheme="minorEastAsia"/>
          <w:sz w:val="28"/>
          <w:szCs w:val="28"/>
        </w:rPr>
        <w:t>　　高虎城分析，2015年，在世界经济放缓、外需不振的情况下，全球性的产能过剩导致国际贸易收缩，大宗商品价格断崖式下降。2015年原油、铁矿石的价格都下降了40%左右，这一“惊人降幅”是2015年中国外贸下滑的重要原因。此外，地缘政治冲突、极端主义和恐怖主义蔓延等问题也对世界经济和全球贸易造成负面影响。</w:t>
      </w:r>
    </w:p>
    <w:p>
      <w:pPr>
        <w:rPr>
          <w:rFonts w:asciiTheme="minorEastAsia" w:hAnsiTheme="minorEastAsia"/>
          <w:sz w:val="28"/>
          <w:szCs w:val="28"/>
        </w:rPr>
      </w:pPr>
      <w:r>
        <w:rPr>
          <w:rFonts w:hint="eastAsia" w:asciiTheme="minorEastAsia" w:hAnsiTheme="minorEastAsia"/>
          <w:sz w:val="28"/>
          <w:szCs w:val="28"/>
        </w:rPr>
        <w:t>　　“总的来看，2015年，在复杂严峻的形势下，我们的出口表现要好于其他主要经济体。”高虎城说，由此导致中国在全球出口贸易中份额增加。</w:t>
      </w:r>
    </w:p>
    <w:p>
      <w:pPr>
        <w:rPr>
          <w:rFonts w:asciiTheme="minorEastAsia" w:hAnsiTheme="minorEastAsia"/>
          <w:sz w:val="28"/>
          <w:szCs w:val="28"/>
        </w:rPr>
      </w:pPr>
      <w:r>
        <w:rPr>
          <w:rFonts w:hint="eastAsia" w:asciiTheme="minorEastAsia" w:hAnsiTheme="minorEastAsia"/>
          <w:sz w:val="28"/>
          <w:szCs w:val="28"/>
        </w:rPr>
        <w:t>　　据世贸组织统计，2015年，全球主要经济体合计出口下降11%，比中国的出口降幅高出8.1个百分点。预计全年中国出口的国际市场份额将超过13%，比2014年提高1个百分点，是历史上提高幅度最大的一年，继续保持世界第一货物贸易大国和出口大国地位。</w:t>
      </w:r>
    </w:p>
    <w:p>
      <w:pPr>
        <w:rPr>
          <w:rFonts w:asciiTheme="minorEastAsia" w:hAnsiTheme="minorEastAsia"/>
          <w:sz w:val="28"/>
          <w:szCs w:val="28"/>
        </w:rPr>
      </w:pPr>
      <w:r>
        <w:rPr>
          <w:rFonts w:hint="eastAsia" w:asciiTheme="minorEastAsia" w:hAnsiTheme="minorEastAsia"/>
          <w:sz w:val="28"/>
          <w:szCs w:val="28"/>
        </w:rPr>
        <w:t>　　与此同时，中国出口结构进一步优化——出口商品结构正在实现从消费品为主向消费品和资本品并重的历史性转变。高虎城提供的数据显示，目前，中国通讯设备已经出口到全球140多个国家，电力设备已经进入欧洲等中高端市场，铁路设备出口覆盖全球六大洲。</w:t>
      </w:r>
    </w:p>
    <w:p>
      <w:pPr>
        <w:rPr>
          <w:rFonts w:asciiTheme="minorEastAsia" w:hAnsiTheme="minorEastAsia"/>
          <w:sz w:val="28"/>
          <w:szCs w:val="28"/>
        </w:rPr>
      </w:pPr>
      <w:r>
        <w:rPr>
          <w:rFonts w:hint="eastAsia" w:asciiTheme="minorEastAsia" w:hAnsiTheme="minorEastAsia"/>
          <w:sz w:val="28"/>
          <w:szCs w:val="28"/>
        </w:rPr>
        <w:t>　　进口方面，去年，中国大宗商品进口量保持增长，其中，原油进口量增长8.8%、天然气增长17.8%、铁矿石增长2.2%、大豆增长14.4%、铜精矿增长12.5%。</w:t>
      </w:r>
    </w:p>
    <w:p>
      <w:pPr>
        <w:rPr>
          <w:rFonts w:asciiTheme="minorEastAsia" w:hAnsiTheme="minorEastAsia"/>
          <w:sz w:val="28"/>
          <w:szCs w:val="28"/>
        </w:rPr>
      </w:pPr>
      <w:r>
        <w:rPr>
          <w:rFonts w:hint="eastAsia" w:asciiTheme="minorEastAsia" w:hAnsiTheme="minorEastAsia"/>
          <w:sz w:val="28"/>
          <w:szCs w:val="28"/>
        </w:rPr>
        <w:t>　　由于国际市场大宗商品价格大幅下降，中国进口减少付汇1880亿美元，折合人民币1.2万亿元。</w:t>
      </w:r>
    </w:p>
    <w:p>
      <w:pPr>
        <w:rPr>
          <w:rFonts w:asciiTheme="minorEastAsia" w:hAnsiTheme="minorEastAsia"/>
          <w:sz w:val="28"/>
          <w:szCs w:val="28"/>
        </w:rPr>
      </w:pPr>
      <w:r>
        <w:rPr>
          <w:rFonts w:hint="eastAsia" w:asciiTheme="minorEastAsia" w:hAnsiTheme="minorEastAsia"/>
          <w:sz w:val="28"/>
          <w:szCs w:val="28"/>
        </w:rPr>
        <w:t>　　高虎城指出，2015年外贸直接和间接带动就业1.8亿人左右，创造了18%的全国税收。同期，货物贸易顺差达到5930亿美元，增长55%，对“促进经济发展、稳定外汇储备规模、维护经济金融安全发挥了重要的支撑作用”。??</w:t>
      </w:r>
    </w:p>
    <w:p>
      <w:pPr>
        <w:rPr>
          <w:rFonts w:asciiTheme="minorEastAsia" w:hAnsiTheme="minorEastAsia"/>
          <w:sz w:val="28"/>
          <w:szCs w:val="28"/>
        </w:rPr>
      </w:pPr>
      <w:r>
        <w:rPr>
          <w:rFonts w:hint="eastAsia" w:asciiTheme="minorEastAsia" w:hAnsiTheme="minorEastAsia"/>
          <w:sz w:val="28"/>
          <w:szCs w:val="28"/>
        </w:rPr>
        <w:t>　　</w:t>
      </w:r>
      <w:r>
        <w:rPr>
          <w:rStyle w:val="14"/>
          <w:rFonts w:hint="eastAsia" w:asciiTheme="minorEastAsia" w:hAnsiTheme="minorEastAsia"/>
          <w:color w:val="333333"/>
          <w:sz w:val="28"/>
          <w:szCs w:val="28"/>
        </w:rPr>
        <w:t>谈一季度外贸：对2月份可能的波动要有思想准备</w:t>
      </w:r>
    </w:p>
    <w:p>
      <w:pPr>
        <w:rPr>
          <w:rFonts w:asciiTheme="minorEastAsia" w:hAnsiTheme="minorEastAsia"/>
          <w:sz w:val="28"/>
          <w:szCs w:val="28"/>
        </w:rPr>
      </w:pPr>
      <w:r>
        <w:rPr>
          <w:rFonts w:hint="eastAsia" w:asciiTheme="minorEastAsia" w:hAnsiTheme="minorEastAsia"/>
          <w:sz w:val="28"/>
          <w:szCs w:val="28"/>
        </w:rPr>
        <w:t>　　对于一季度的外贸形势，高虎城表示，对2月份可能出现的外贸数据波动，各界要有“充分的思想准备”。</w:t>
      </w:r>
    </w:p>
    <w:p>
      <w:pPr>
        <w:rPr>
          <w:rFonts w:asciiTheme="minorEastAsia" w:hAnsiTheme="minorEastAsia"/>
          <w:sz w:val="28"/>
          <w:szCs w:val="28"/>
        </w:rPr>
      </w:pPr>
      <w:r>
        <w:rPr>
          <w:rFonts w:hint="eastAsia" w:asciiTheme="minorEastAsia" w:hAnsiTheme="minorEastAsia"/>
          <w:sz w:val="28"/>
          <w:szCs w:val="28"/>
        </w:rPr>
        <w:t>　　受外需不振和进出口价格下跌影响，1月份，中国进出口1.88万亿元人民币，同比下降9.8%。其中，出口下降6.6%；进口下降14.4%。这一表现延续了去年外贸进出口的“双降”态势。</w:t>
      </w:r>
    </w:p>
    <w:p>
      <w:pPr>
        <w:rPr>
          <w:rFonts w:asciiTheme="minorEastAsia" w:hAnsiTheme="minorEastAsia"/>
          <w:sz w:val="28"/>
          <w:szCs w:val="28"/>
        </w:rPr>
      </w:pPr>
      <w:r>
        <w:rPr>
          <w:rFonts w:hint="eastAsia" w:asciiTheme="minorEastAsia" w:hAnsiTheme="minorEastAsia"/>
          <w:sz w:val="28"/>
          <w:szCs w:val="28"/>
        </w:rPr>
        <w:t>　　“从历史经验看，受春节假期等因素影响，每年一季度的月度进出口数据都会出现较大波动。”高虎城说。</w:t>
      </w:r>
    </w:p>
    <w:p>
      <w:pPr>
        <w:rPr>
          <w:rFonts w:asciiTheme="minorEastAsia" w:hAnsiTheme="minorEastAsia"/>
          <w:sz w:val="28"/>
          <w:szCs w:val="28"/>
        </w:rPr>
      </w:pPr>
      <w:r>
        <w:rPr>
          <w:rFonts w:hint="eastAsia" w:asciiTheme="minorEastAsia" w:hAnsiTheme="minorEastAsia"/>
          <w:sz w:val="28"/>
          <w:szCs w:val="28"/>
        </w:rPr>
        <w:t>　　他提醒，因为春节是在2月份，受此影响，工厂生产、出库都会出现一些变化，进而可能造成2月份进出口数据的波动。</w:t>
      </w:r>
    </w:p>
    <w:p>
      <w:pPr>
        <w:rPr>
          <w:rFonts w:asciiTheme="minorEastAsia" w:hAnsiTheme="minorEastAsia"/>
          <w:sz w:val="28"/>
          <w:szCs w:val="28"/>
        </w:rPr>
      </w:pPr>
      <w:r>
        <w:rPr>
          <w:rFonts w:hint="eastAsia" w:asciiTheme="minorEastAsia" w:hAnsiTheme="minorEastAsia"/>
          <w:sz w:val="28"/>
          <w:szCs w:val="28"/>
        </w:rPr>
        <w:t>　　“1、2月份的数据不是我们判断(全年外贸走势)的主要指标。”高虎城说。</w:t>
      </w:r>
    </w:p>
    <w:p>
      <w:pPr>
        <w:rPr>
          <w:rFonts w:asciiTheme="minorEastAsia" w:hAnsiTheme="minorEastAsia"/>
          <w:sz w:val="28"/>
          <w:szCs w:val="28"/>
        </w:rPr>
      </w:pPr>
      <w:r>
        <w:rPr>
          <w:rFonts w:hint="eastAsia" w:asciiTheme="minorEastAsia" w:hAnsiTheme="minorEastAsia"/>
          <w:sz w:val="28"/>
          <w:szCs w:val="28"/>
        </w:rPr>
        <w:t>　　但高虎城同时指出，春节因素并不是造成中国开年进出口“双降”的唯一原因。由于全球市场需求的疲弱及大宗商品价格的低迷，世界主要经济体的进出口均表现不佳，造成了全球贸易开局不佳的态势。</w:t>
      </w:r>
    </w:p>
    <w:p>
      <w:pPr>
        <w:rPr>
          <w:rFonts w:asciiTheme="minorEastAsia" w:hAnsiTheme="minorEastAsia"/>
          <w:sz w:val="28"/>
          <w:szCs w:val="28"/>
        </w:rPr>
      </w:pPr>
      <w:r>
        <w:rPr>
          <w:rFonts w:hint="eastAsia" w:asciiTheme="minorEastAsia" w:hAnsiTheme="minorEastAsia"/>
          <w:sz w:val="28"/>
          <w:szCs w:val="28"/>
        </w:rPr>
        <w:t>　　截至2月18日，世界贸易组织汇总的各国外贸数据显示，日本、韩国、巴西、挪威、新加坡、印度、印尼等国1月外贸进出口均出现不同程度的负增长，其中出口降幅均大于中国。</w:t>
      </w:r>
    </w:p>
    <w:p>
      <w:pPr>
        <w:rPr>
          <w:rFonts w:asciiTheme="minorEastAsia" w:hAnsiTheme="minorEastAsia"/>
          <w:sz w:val="28"/>
          <w:szCs w:val="28"/>
        </w:rPr>
      </w:pPr>
      <w:r>
        <w:rPr>
          <w:rFonts w:hint="eastAsia" w:asciiTheme="minorEastAsia" w:hAnsiTheme="minorEastAsia"/>
          <w:sz w:val="28"/>
          <w:szCs w:val="28"/>
        </w:rPr>
        <w:t>　　“与主要经济体的外贸表现相比，中国的降速是在合理水平的，这说明2016年开局全球贸易仍然呈下行趋势。”高虎城说，“对于这一点首先要有清醒地认识”。</w:t>
      </w:r>
    </w:p>
    <w:p>
      <w:pPr>
        <w:rPr>
          <w:rFonts w:asciiTheme="minorEastAsia" w:hAnsiTheme="minorEastAsia"/>
          <w:sz w:val="28"/>
          <w:szCs w:val="28"/>
        </w:rPr>
      </w:pPr>
      <w:r>
        <w:rPr>
          <w:rFonts w:hint="eastAsia" w:asciiTheme="minorEastAsia" w:hAnsiTheme="minorEastAsia"/>
          <w:sz w:val="28"/>
          <w:szCs w:val="28"/>
        </w:rPr>
        <w:t>　　</w:t>
      </w:r>
      <w:r>
        <w:rPr>
          <w:rStyle w:val="14"/>
          <w:rFonts w:hint="eastAsia" w:asciiTheme="minorEastAsia" w:hAnsiTheme="minorEastAsia"/>
          <w:color w:val="333333"/>
          <w:sz w:val="28"/>
          <w:szCs w:val="28"/>
        </w:rPr>
        <w:t>谈今年全年外贸形势：不稳定不确定因素在增加</w:t>
      </w:r>
    </w:p>
    <w:p>
      <w:pPr>
        <w:rPr>
          <w:rFonts w:asciiTheme="minorEastAsia" w:hAnsiTheme="minorEastAsia"/>
          <w:sz w:val="28"/>
          <w:szCs w:val="28"/>
        </w:rPr>
      </w:pPr>
      <w:r>
        <w:rPr>
          <w:rFonts w:hint="eastAsia" w:asciiTheme="minorEastAsia" w:hAnsiTheme="minorEastAsia"/>
          <w:sz w:val="28"/>
          <w:szCs w:val="28"/>
        </w:rPr>
        <w:t>　　“总的来看，今年外贸形势异常严峻复杂，不稳定、不确定因素在增加，下行压力很大。”谈及全年外贸形势，高虎城说。</w:t>
      </w:r>
    </w:p>
    <w:p>
      <w:pPr>
        <w:rPr>
          <w:rFonts w:asciiTheme="minorEastAsia" w:hAnsiTheme="minorEastAsia"/>
          <w:sz w:val="28"/>
          <w:szCs w:val="28"/>
        </w:rPr>
      </w:pPr>
      <w:r>
        <w:rPr>
          <w:rFonts w:hint="eastAsia" w:asciiTheme="minorEastAsia" w:hAnsiTheme="minorEastAsia"/>
          <w:sz w:val="28"/>
          <w:szCs w:val="28"/>
        </w:rPr>
        <w:t>　　高虎城指出，从国际上看，世界经济复苏乏力，外需继续低迷。国际货币基金组织、世界银行等权威机构最近分别不同程度下调2016年全球经济增长预期。主要经济体进入不同的经济周期和政策周期，市场波动的突发性和放大效应明显上升，局部地区地缘政治风险在上升。</w:t>
      </w:r>
    </w:p>
    <w:p>
      <w:pPr>
        <w:rPr>
          <w:rFonts w:asciiTheme="minorEastAsia" w:hAnsiTheme="minorEastAsia"/>
          <w:sz w:val="28"/>
          <w:szCs w:val="28"/>
        </w:rPr>
      </w:pPr>
      <w:r>
        <w:rPr>
          <w:rFonts w:hint="eastAsia" w:asciiTheme="minorEastAsia" w:hAnsiTheme="minorEastAsia"/>
          <w:sz w:val="28"/>
          <w:szCs w:val="28"/>
        </w:rPr>
        <w:t>　　“在充分认识到外贸形势严峻性、复杂性的同时，我们也要看到，中国外贸发展的基本面没有改变，仍然存在许多有利条件。”高虎城举例称，中国与发达国家、发展中国家产业结构具有较强的互补性，基础设施完善，产业配套完备，营商环境在持续改善，仍然具有较强的综合竞争优势。</w:t>
      </w:r>
    </w:p>
    <w:p>
      <w:pPr>
        <w:rPr>
          <w:rFonts w:asciiTheme="minorEastAsia" w:hAnsiTheme="minorEastAsia"/>
          <w:sz w:val="28"/>
          <w:szCs w:val="28"/>
        </w:rPr>
      </w:pPr>
      <w:r>
        <w:rPr>
          <w:rFonts w:hint="eastAsia" w:asciiTheme="minorEastAsia" w:hAnsiTheme="minorEastAsia"/>
          <w:sz w:val="28"/>
          <w:szCs w:val="28"/>
        </w:rPr>
        <w:t>　　他特别指出，中国的“产业链长，加工和服务的能力强、人才储备能力强”，这些是“很多国家无法替代的”。</w:t>
      </w:r>
    </w:p>
    <w:p>
      <w:pPr>
        <w:rPr>
          <w:rFonts w:asciiTheme="minorEastAsia" w:hAnsiTheme="minorEastAsia"/>
          <w:sz w:val="28"/>
          <w:szCs w:val="28"/>
        </w:rPr>
      </w:pPr>
      <w:r>
        <w:rPr>
          <w:rFonts w:hint="eastAsia" w:asciiTheme="minorEastAsia" w:hAnsiTheme="minorEastAsia"/>
          <w:sz w:val="28"/>
          <w:szCs w:val="28"/>
        </w:rPr>
        <w:t>　　“我想强调的是，近几年，中国外贸发展结构持续优化，转型升级、动力转换在加快，新的增长动能正在积聚，对中国外贸发展的前景应当充满信心。”高虎城说。</w:t>
      </w:r>
    </w:p>
    <w:p>
      <w:pPr>
        <w:rPr>
          <w:rFonts w:asciiTheme="minorEastAsia" w:hAnsiTheme="minorEastAsia"/>
          <w:sz w:val="28"/>
          <w:szCs w:val="28"/>
        </w:rPr>
      </w:pPr>
      <w:r>
        <w:rPr>
          <w:rFonts w:hint="eastAsia" w:asciiTheme="minorEastAsia" w:hAnsiTheme="minorEastAsia"/>
          <w:sz w:val="28"/>
          <w:szCs w:val="28"/>
        </w:rPr>
        <w:t>　　谈对外投资：创造了世界投资史“奇迹”</w:t>
      </w:r>
    </w:p>
    <w:p>
      <w:pPr>
        <w:rPr>
          <w:rFonts w:asciiTheme="minorEastAsia" w:hAnsiTheme="minorEastAsia"/>
          <w:sz w:val="28"/>
          <w:szCs w:val="28"/>
        </w:rPr>
      </w:pPr>
      <w:r>
        <w:rPr>
          <w:rFonts w:hint="eastAsia" w:asciiTheme="minorEastAsia" w:hAnsiTheme="minorEastAsia"/>
          <w:sz w:val="28"/>
          <w:szCs w:val="28"/>
        </w:rPr>
        <w:t>　　“本世纪以来，中国对外直接投资已实现了13年连续增长，年均增幅高达33.6%，可以说在世界投资史上创造了’奇迹’。”谈及中国的对外投资，高虎城如是说。</w:t>
      </w:r>
    </w:p>
    <w:p>
      <w:pPr>
        <w:rPr>
          <w:rFonts w:asciiTheme="minorEastAsia" w:hAnsiTheme="minorEastAsia"/>
          <w:sz w:val="28"/>
          <w:szCs w:val="28"/>
        </w:rPr>
      </w:pPr>
      <w:r>
        <w:rPr>
          <w:rFonts w:hint="eastAsia" w:asciiTheme="minorEastAsia" w:hAnsiTheme="minorEastAsia"/>
          <w:sz w:val="28"/>
          <w:szCs w:val="28"/>
        </w:rPr>
        <w:t>　　中共十八大以来，中国加快构建开放型经济新体制，中国对外投资规模持续高速增长。特别是2013年“一带一路”倡议提出以来，中国对外投资步伐进一步加快。</w:t>
      </w:r>
    </w:p>
    <w:p>
      <w:pPr>
        <w:rPr>
          <w:rFonts w:asciiTheme="minorEastAsia" w:hAnsiTheme="minorEastAsia"/>
          <w:sz w:val="28"/>
          <w:szCs w:val="28"/>
        </w:rPr>
      </w:pPr>
      <w:r>
        <w:rPr>
          <w:rFonts w:hint="eastAsia" w:asciiTheme="minorEastAsia" w:hAnsiTheme="minorEastAsia"/>
          <w:sz w:val="28"/>
          <w:szCs w:val="28"/>
        </w:rPr>
        <w:t>　　“如果加上金融类投资，2014年中国已经开始成为资本净输出国。”高虎城提供的数据显示，2015年末，中国对外直接投资存量首次超过万亿美元大关，达到10102亿美元，占全球外国直接投资存量的3.4%左右，其中八成分布在发展中国家，两成分布在发达国家。</w:t>
      </w:r>
    </w:p>
    <w:p>
      <w:pPr>
        <w:rPr>
          <w:rFonts w:asciiTheme="minorEastAsia" w:hAnsiTheme="minorEastAsia"/>
          <w:sz w:val="28"/>
          <w:szCs w:val="28"/>
        </w:rPr>
      </w:pPr>
      <w:r>
        <w:rPr>
          <w:rFonts w:hint="eastAsia" w:asciiTheme="minorEastAsia" w:hAnsiTheme="minorEastAsia"/>
          <w:sz w:val="28"/>
          <w:szCs w:val="28"/>
        </w:rPr>
        <w:t>　　今年1月，中国非金融类对外直接投资继续保持旺盛增长势头，流量达到120.2亿美元，同比增长18.2%。</w:t>
      </w:r>
    </w:p>
    <w:p>
      <w:pPr>
        <w:rPr>
          <w:rFonts w:asciiTheme="minorEastAsia" w:hAnsiTheme="minorEastAsia"/>
          <w:sz w:val="28"/>
          <w:szCs w:val="28"/>
        </w:rPr>
      </w:pPr>
      <w:r>
        <w:rPr>
          <w:rFonts w:hint="eastAsia" w:asciiTheme="minorEastAsia" w:hAnsiTheme="minorEastAsia"/>
          <w:sz w:val="28"/>
          <w:szCs w:val="28"/>
        </w:rPr>
        <w:t>　　“(1月份的投资表现)是承接了2014年、2015年中国对外投资高速增长的势头，这个势头相信在今年全年也会继续加强。”高虎城说。</w:t>
      </w:r>
    </w:p>
    <w:p>
      <w:pPr>
        <w:rPr>
          <w:rFonts w:asciiTheme="minorEastAsia" w:hAnsiTheme="minorEastAsia"/>
          <w:sz w:val="28"/>
          <w:szCs w:val="28"/>
        </w:rPr>
      </w:pPr>
      <w:r>
        <w:rPr>
          <w:rFonts w:hint="eastAsia" w:asciiTheme="minorEastAsia" w:hAnsiTheme="minorEastAsia"/>
          <w:sz w:val="28"/>
          <w:szCs w:val="28"/>
        </w:rPr>
        <w:t>　　按照国际公认的投资发展周期理论，人均GDP超过4000美元，对外直接投资增长速度将超过外国直接投资的增长速度。</w:t>
      </w:r>
    </w:p>
    <w:p>
      <w:pPr>
        <w:rPr>
          <w:rFonts w:asciiTheme="minorEastAsia" w:hAnsiTheme="minorEastAsia"/>
          <w:sz w:val="28"/>
          <w:szCs w:val="28"/>
        </w:rPr>
      </w:pPr>
      <w:r>
        <w:rPr>
          <w:rFonts w:hint="eastAsia" w:asciiTheme="minorEastAsia" w:hAnsiTheme="minorEastAsia"/>
          <w:sz w:val="28"/>
          <w:szCs w:val="28"/>
        </w:rPr>
        <w:t>　　高虎城指出，中国从2010年开始，人均GDP就已超过4000美元(2013年，中国人均GDP已达到6995美元，2014年为7575美元，2015年为8015美元)，已经进入对外直接投资快速发展阶段。</w:t>
      </w:r>
    </w:p>
    <w:p>
      <w:pPr>
        <w:rPr>
          <w:rFonts w:asciiTheme="minorEastAsia" w:hAnsiTheme="minorEastAsia"/>
          <w:sz w:val="28"/>
          <w:szCs w:val="28"/>
        </w:rPr>
      </w:pPr>
      <w:r>
        <w:rPr>
          <w:rFonts w:hint="eastAsia" w:asciiTheme="minorEastAsia" w:hAnsiTheme="minorEastAsia"/>
          <w:sz w:val="28"/>
          <w:szCs w:val="28"/>
        </w:rPr>
        <w:t>　　“应当说，正是中国经济的持续健康发展，为中国企业对外直接投资快速增长和加快在全球配置资源提供了不竭的动力。”高虎城指出，随着中国改革开放的不断深入和与世界经济融合的不断加深，中国对外直接投资仍将保持快速发展势头，规模和质量也将不断提升。</w:t>
      </w:r>
    </w:p>
    <w:p>
      <w:pPr>
        <w:rPr>
          <w:rFonts w:asciiTheme="minorEastAsia" w:hAnsiTheme="minorEastAsia"/>
          <w:sz w:val="28"/>
          <w:szCs w:val="28"/>
        </w:rPr>
      </w:pPr>
      <w:r>
        <w:rPr>
          <w:rFonts w:hint="eastAsia" w:asciiTheme="minorEastAsia" w:hAnsiTheme="minorEastAsia"/>
          <w:sz w:val="28"/>
          <w:szCs w:val="28"/>
        </w:rPr>
        <w:t>　　高虎城表示，中国对外投资促进了世界经济和东道国的经济增长，实现了互利共赢、共同发展。这是中国经济增长为世界经济作出贡献的又一重要方面。中国的对外投资有力地促进了东道国经济社会发展，增加了就业和税收，改善了民生。对发展中国家，改善了基础设施条件、促进新型工业化发展；对发达国家，实现了优势互补、合作共赢。</w:t>
      </w:r>
    </w:p>
    <w:p>
      <w:pPr>
        <w:rPr>
          <w:rFonts w:asciiTheme="minorEastAsia" w:hAnsiTheme="minorEastAsia"/>
          <w:sz w:val="28"/>
          <w:szCs w:val="28"/>
        </w:rPr>
      </w:pPr>
      <w:r>
        <w:rPr>
          <w:rFonts w:hint="eastAsia" w:asciiTheme="minorEastAsia" w:hAnsiTheme="minorEastAsia"/>
          <w:sz w:val="28"/>
          <w:szCs w:val="28"/>
        </w:rPr>
        <w:t>　　目前，中国对外投资流量已位居世界第三位，存量位居世界第八位，近4年，境外中资企业向投资所在国缴纳的各种税金总额超过1000亿美元；2015年末在境外中资企业工作的外方员工有近90万人。</w:t>
      </w:r>
    </w:p>
    <w:p>
      <w:pPr>
        <w:rPr>
          <w:rFonts w:asciiTheme="minorEastAsia" w:hAnsiTheme="minorEastAsia"/>
          <w:sz w:val="28"/>
          <w:szCs w:val="28"/>
        </w:rPr>
      </w:pPr>
      <w:r>
        <w:rPr>
          <w:rStyle w:val="14"/>
          <w:rFonts w:hint="eastAsia" w:asciiTheme="minorEastAsia" w:hAnsiTheme="minorEastAsia"/>
          <w:color w:val="333333"/>
          <w:sz w:val="28"/>
          <w:szCs w:val="28"/>
        </w:rPr>
        <w:t>　　谈“外资撤离潮”：并不存在</w:t>
      </w:r>
    </w:p>
    <w:p>
      <w:pPr>
        <w:rPr>
          <w:rFonts w:asciiTheme="minorEastAsia" w:hAnsiTheme="minorEastAsia"/>
          <w:sz w:val="28"/>
          <w:szCs w:val="28"/>
        </w:rPr>
      </w:pPr>
      <w:r>
        <w:rPr>
          <w:rFonts w:hint="eastAsia" w:asciiTheme="minorEastAsia" w:hAnsiTheme="minorEastAsia"/>
          <w:sz w:val="28"/>
          <w:szCs w:val="28"/>
        </w:rPr>
        <w:t>　　“我不同意这个提法，而且这种现象也并不存在。”对于“外资撤离潮”这一说法，高虎城如是回应说。</w:t>
      </w:r>
    </w:p>
    <w:p>
      <w:pPr>
        <w:rPr>
          <w:rFonts w:asciiTheme="minorEastAsia" w:hAnsiTheme="minorEastAsia"/>
          <w:sz w:val="28"/>
          <w:szCs w:val="28"/>
        </w:rPr>
      </w:pPr>
      <w:r>
        <w:rPr>
          <w:rFonts w:hint="eastAsia" w:asciiTheme="minorEastAsia" w:hAnsiTheme="minorEastAsia"/>
          <w:sz w:val="28"/>
          <w:szCs w:val="28"/>
        </w:rPr>
        <w:t>　　2015年，一些西方媒体不时炒作中国出现“外资撤离潮”，称大批外资企业将生产线撤回国内或布局至东南亚等其它地区，中国的引资环境一度受到外界高度关注。</w:t>
      </w:r>
    </w:p>
    <w:p>
      <w:pPr>
        <w:rPr>
          <w:rFonts w:asciiTheme="minorEastAsia" w:hAnsiTheme="minorEastAsia"/>
          <w:sz w:val="28"/>
          <w:szCs w:val="28"/>
        </w:rPr>
      </w:pPr>
      <w:r>
        <w:rPr>
          <w:rFonts w:hint="eastAsia" w:asciiTheme="minorEastAsia" w:hAnsiTheme="minorEastAsia"/>
          <w:sz w:val="28"/>
          <w:szCs w:val="28"/>
        </w:rPr>
        <w:t>　　高虎城表示，中国吸收外资仍在保持平稳增长，“大的趋势是好的”。2015年，中国吸收外资1263亿美元(不含银行、保险、证券数据)，同比增长5.6%。“十二五”期间，中国引资规模比“十一五”增长了30%。2014年和2015年连续两年引资创历史新高。截至今年1月底，中国累计吸收外资超1.6万亿美元。今年1月，中国实际使用外资同比增长3.2%。</w:t>
      </w:r>
    </w:p>
    <w:p>
      <w:pPr>
        <w:rPr>
          <w:rFonts w:asciiTheme="minorEastAsia" w:hAnsiTheme="minorEastAsia"/>
          <w:sz w:val="28"/>
          <w:szCs w:val="28"/>
        </w:rPr>
      </w:pPr>
      <w:r>
        <w:rPr>
          <w:rFonts w:hint="eastAsia" w:asciiTheme="minorEastAsia" w:hAnsiTheme="minorEastAsia"/>
          <w:sz w:val="28"/>
          <w:szCs w:val="28"/>
        </w:rPr>
        <w:t>　　“这充分表明，中国的经济发展和营商环境对外资具有足够的吸引力。”高虎城说。</w:t>
      </w:r>
    </w:p>
    <w:p>
      <w:pPr>
        <w:rPr>
          <w:rFonts w:asciiTheme="minorEastAsia" w:hAnsiTheme="minorEastAsia"/>
          <w:sz w:val="28"/>
          <w:szCs w:val="28"/>
        </w:rPr>
      </w:pPr>
      <w:r>
        <w:rPr>
          <w:rFonts w:hint="eastAsia" w:asciiTheme="minorEastAsia" w:hAnsiTheme="minorEastAsia"/>
          <w:sz w:val="28"/>
          <w:szCs w:val="28"/>
        </w:rPr>
        <w:t>　　他强调，改革开放以来的30多年间，外资企业与内资企业一样，随着中国经济的发展水平和要素成本的变化，企业的投资领域、规模和效益也在不断变化。</w:t>
      </w:r>
    </w:p>
    <w:p>
      <w:pPr>
        <w:rPr>
          <w:rFonts w:asciiTheme="minorEastAsia" w:hAnsiTheme="minorEastAsia"/>
          <w:sz w:val="28"/>
          <w:szCs w:val="28"/>
        </w:rPr>
      </w:pPr>
      <w:r>
        <w:rPr>
          <w:rFonts w:hint="eastAsia" w:asciiTheme="minorEastAsia" w:hAnsiTheme="minorEastAsia"/>
          <w:sz w:val="28"/>
          <w:szCs w:val="28"/>
        </w:rPr>
        <w:t>　　“比如，东部地区部分劳动密集型企业，包括外资企业，逐步向中西部地区转移，甚至向周边国家转移，这是市场在配置资源过程中发挥决定性作用的结果，是正常现象。”高虎城说，“我们更关注吸引外资的质量。”</w:t>
      </w:r>
    </w:p>
    <w:p>
      <w:pPr>
        <w:rPr>
          <w:rFonts w:asciiTheme="minorEastAsia" w:hAnsiTheme="minorEastAsia"/>
          <w:sz w:val="28"/>
          <w:szCs w:val="28"/>
        </w:rPr>
      </w:pPr>
      <w:r>
        <w:rPr>
          <w:rFonts w:hint="eastAsia" w:asciiTheme="minorEastAsia" w:hAnsiTheme="minorEastAsia"/>
          <w:sz w:val="28"/>
          <w:szCs w:val="28"/>
        </w:rPr>
        <w:t>　　他援引联合国贸发会议调查称，中国在2015年至2017年仍位居最具前景的投资目的国首位。中国美国商会调查、中国欧盟商会、日中投资促进机构的调查显示，大多数受访企业对中国市场仍持乐观态度。</w:t>
      </w:r>
    </w:p>
    <w:p>
      <w:pPr>
        <w:rPr>
          <w:rFonts w:asciiTheme="minorEastAsia" w:hAnsiTheme="minorEastAsia"/>
          <w:sz w:val="28"/>
          <w:szCs w:val="28"/>
        </w:rPr>
      </w:pPr>
      <w:r>
        <w:rPr>
          <w:rFonts w:hint="eastAsia" w:asciiTheme="minorEastAsia" w:hAnsiTheme="minorEastAsia"/>
          <w:sz w:val="28"/>
          <w:szCs w:val="28"/>
        </w:rPr>
        <w:t>　　“去年以来，我和我的同事与很多世界500强企业的总裁进行过交流，这些总裁们都表示，对中国经济和未来充满信心，将进一步扩大对华投资。”高虎城说。</w:t>
      </w:r>
    </w:p>
    <w:p>
      <w:pPr>
        <w:rPr>
          <w:rFonts w:asciiTheme="minorEastAsia" w:hAnsiTheme="minorEastAsia"/>
          <w:sz w:val="28"/>
          <w:szCs w:val="28"/>
        </w:rPr>
      </w:pPr>
      <w:r>
        <w:rPr>
          <w:rFonts w:hint="eastAsia" w:asciiTheme="minorEastAsia" w:hAnsiTheme="minorEastAsia"/>
          <w:sz w:val="28"/>
          <w:szCs w:val="28"/>
        </w:rPr>
        <w:t>　　高虎城指出，“十三五”期间，在五大发展理念引领下，中国将加快构建开放型经济新体制，鼓励外国投资的态度是坚定不移的；中国进一步扩大开放、打造法治化、国际化、便利化营商环境的决心是坚定不移的。</w:t>
      </w:r>
    </w:p>
    <w:p>
      <w:pPr>
        <w:rPr>
          <w:rFonts w:asciiTheme="minorEastAsia" w:hAnsiTheme="minorEastAsia"/>
          <w:sz w:val="28"/>
          <w:szCs w:val="28"/>
        </w:rPr>
      </w:pPr>
      <w:r>
        <w:rPr>
          <w:rFonts w:hint="eastAsia" w:asciiTheme="minorEastAsia" w:hAnsiTheme="minorEastAsia"/>
          <w:sz w:val="28"/>
          <w:szCs w:val="28"/>
        </w:rPr>
        <w:t>　　“中国的投资环境将会更透明、更稳定，更有利于各类企业的发展。我相信中国未来仍将是全球最受外资青睐的投资目的地。”高虎城说。(完)</w:t>
      </w:r>
    </w:p>
    <w:p>
      <w:pPr>
        <w:rPr>
          <w:b/>
        </w:rPr>
      </w:pPr>
      <w:r>
        <w:rPr>
          <w:b/>
        </w:rPr>
        <w:t>转自：中新网</w:t>
      </w:r>
    </w:p>
    <w:p>
      <w:pPr>
        <w:pStyle w:val="3"/>
        <w:jc w:val="center"/>
      </w:pPr>
      <w:bookmarkStart w:id="183" w:name="_Toc446330749"/>
      <w:bookmarkStart w:id="184" w:name="_Toc446326777"/>
      <w:bookmarkStart w:id="185" w:name="_Toc446324708"/>
      <w:bookmarkStart w:id="186" w:name="_Toc446322505"/>
      <w:bookmarkStart w:id="187" w:name="_Toc446330646"/>
      <w:r>
        <w:t>发改委第一时间回应：将对互联网失信行为实施联合惩戒</w:t>
      </w:r>
      <w:bookmarkEnd w:id="183"/>
      <w:bookmarkEnd w:id="184"/>
      <w:bookmarkEnd w:id="185"/>
      <w:bookmarkEnd w:id="186"/>
      <w:bookmarkEnd w:id="187"/>
    </w:p>
    <w:p>
      <w:pPr/>
    </w:p>
    <w:p>
      <w:pPr>
        <w:rPr>
          <w:rFonts w:asciiTheme="minorEastAsia" w:hAnsiTheme="minorEastAsia"/>
          <w:sz w:val="28"/>
          <w:szCs w:val="28"/>
        </w:rPr>
      </w:pPr>
      <w:r>
        <w:rPr>
          <w:rFonts w:asciiTheme="minorEastAsia" w:hAnsiTheme="minorEastAsia"/>
          <w:sz w:val="28"/>
          <w:szCs w:val="28"/>
        </w:rPr>
        <w:t>针对央视3·15晚会曝光的互联网领域的案件，发改委回应将对互联网失信行为实施联合惩戒。</w:t>
      </w:r>
    </w:p>
    <w:p>
      <w:pPr>
        <w:rPr>
          <w:rFonts w:asciiTheme="minorEastAsia" w:hAnsiTheme="minorEastAsia"/>
          <w:sz w:val="28"/>
          <w:szCs w:val="28"/>
        </w:rPr>
      </w:pPr>
    </w:p>
    <w:p>
      <w:pPr>
        <w:rPr>
          <w:rFonts w:asciiTheme="minorEastAsia" w:hAnsiTheme="minorEastAsia"/>
          <w:sz w:val="28"/>
          <w:szCs w:val="28"/>
        </w:rPr>
      </w:pPr>
      <w:r>
        <w:rPr>
          <w:rStyle w:val="27"/>
          <w:rFonts w:asciiTheme="minorEastAsia" w:hAnsiTheme="minorEastAsia"/>
          <w:color w:val="3E3E3E"/>
          <w:sz w:val="28"/>
          <w:szCs w:val="28"/>
        </w:rPr>
        <w:tab/>
      </w:r>
      <w:r>
        <w:rPr>
          <w:rStyle w:val="14"/>
          <w:rFonts w:asciiTheme="minorEastAsia" w:hAnsiTheme="minorEastAsia"/>
          <w:color w:val="3E3E3E"/>
          <w:sz w:val="28"/>
          <w:szCs w:val="28"/>
        </w:rPr>
        <w:t>发改委财金司副司长 李聚合</w:t>
      </w:r>
      <w:r>
        <w:rPr>
          <w:rFonts w:asciiTheme="minorEastAsia" w:hAnsiTheme="minorEastAsia"/>
          <w:sz w:val="28"/>
          <w:szCs w:val="28"/>
        </w:rPr>
        <w:t>：今天晚上，曝光的这些互联网领域的，我们已经充分注意到了，按照党中央国务院的部署，</w:t>
      </w:r>
      <w:r>
        <w:rPr>
          <w:rStyle w:val="14"/>
          <w:rFonts w:asciiTheme="minorEastAsia" w:hAnsiTheme="minorEastAsia"/>
          <w:color w:val="021EAA"/>
          <w:sz w:val="28"/>
          <w:szCs w:val="28"/>
        </w:rPr>
        <w:t>今年我们要重点对互联网领域的实行行为，进行联合惩戒</w:t>
      </w:r>
      <w:r>
        <w:rPr>
          <w:rFonts w:asciiTheme="minorEastAsia" w:hAnsiTheme="minorEastAsia"/>
          <w:sz w:val="28"/>
          <w:szCs w:val="28"/>
        </w:rPr>
        <w:t>，我们首先是要对这些互联网领域的，进行剖析，要健全管理体制，要对失信行为进行甄别记录，进行重建，加强信用信息的互联共享。</w:t>
      </w:r>
    </w:p>
    <w:p>
      <w:pPr>
        <w:rPr>
          <w:rFonts w:asciiTheme="minorEastAsia" w:hAnsiTheme="minorEastAsia"/>
          <w:sz w:val="28"/>
          <w:szCs w:val="28"/>
        </w:rPr>
      </w:pPr>
    </w:p>
    <w:p>
      <w:pPr>
        <w:rPr>
          <w:rFonts w:asciiTheme="minorEastAsia" w:hAnsiTheme="minorEastAsia"/>
          <w:sz w:val="28"/>
          <w:szCs w:val="28"/>
        </w:rPr>
      </w:pPr>
      <w:r>
        <w:rPr>
          <w:rStyle w:val="27"/>
          <w:rFonts w:asciiTheme="minorEastAsia" w:hAnsiTheme="minorEastAsia"/>
          <w:color w:val="3E3E3E"/>
          <w:sz w:val="28"/>
          <w:szCs w:val="28"/>
        </w:rPr>
        <w:tab/>
      </w:r>
      <w:r>
        <w:rPr>
          <w:rStyle w:val="14"/>
          <w:rFonts w:asciiTheme="minorEastAsia" w:hAnsiTheme="minorEastAsia"/>
          <w:color w:val="3E3E3E"/>
          <w:sz w:val="28"/>
          <w:szCs w:val="28"/>
        </w:rPr>
        <w:t>发改委财金司副司长李聚合还建议</w:t>
      </w:r>
      <w:r>
        <w:rPr>
          <w:rFonts w:asciiTheme="minorEastAsia" w:hAnsiTheme="minorEastAsia"/>
          <w:sz w:val="28"/>
          <w:szCs w:val="28"/>
        </w:rPr>
        <w:t>，各类的互联网平台，要加强自身的信用建设，要堵塞各种漏洞，真正的为消费者创造良好的消费环境，真正使互联网领域的诚信水平有所提高。</w:t>
      </w:r>
    </w:p>
    <w:p>
      <w:pPr>
        <w:rPr>
          <w:rFonts w:asciiTheme="minorEastAsia" w:hAnsiTheme="minorEastAsia"/>
          <w:sz w:val="28"/>
          <w:szCs w:val="28"/>
        </w:rPr>
      </w:pPr>
    </w:p>
    <w:p>
      <w:pPr>
        <w:rPr>
          <w:rFonts w:asciiTheme="minorEastAsia" w:hAnsiTheme="minorEastAsia"/>
          <w:sz w:val="28"/>
          <w:szCs w:val="28"/>
        </w:rPr>
      </w:pPr>
      <w:r>
        <w:rPr>
          <w:rStyle w:val="27"/>
          <w:rFonts w:asciiTheme="minorEastAsia" w:hAnsiTheme="minorEastAsia"/>
          <w:color w:val="3E3E3E"/>
          <w:sz w:val="28"/>
          <w:szCs w:val="28"/>
        </w:rPr>
        <w:tab/>
      </w:r>
      <w:r>
        <w:rPr>
          <w:rStyle w:val="14"/>
          <w:rFonts w:asciiTheme="minorEastAsia" w:hAnsiTheme="minorEastAsia"/>
          <w:color w:val="3E3E3E"/>
          <w:sz w:val="28"/>
          <w:szCs w:val="28"/>
        </w:rPr>
        <w:t>发改委财金司副司长 李聚合</w:t>
      </w:r>
      <w:r>
        <w:rPr>
          <w:rFonts w:asciiTheme="minorEastAsia" w:hAnsiTheme="minorEastAsia"/>
          <w:sz w:val="28"/>
          <w:szCs w:val="28"/>
        </w:rPr>
        <w:t>：你一旦有了失信行为，</w:t>
      </w:r>
      <w:r>
        <w:rPr>
          <w:rStyle w:val="14"/>
          <w:rFonts w:asciiTheme="minorEastAsia" w:hAnsiTheme="minorEastAsia"/>
          <w:color w:val="D92142"/>
          <w:sz w:val="28"/>
          <w:szCs w:val="28"/>
        </w:rPr>
        <w:t>就会进入我们的信用体系的记录里，要永久的进行保留，除非你是个人进行了信用修复、纠正。</w:t>
      </w:r>
      <w:r>
        <w:rPr>
          <w:rFonts w:asciiTheme="minorEastAsia" w:hAnsiTheme="minorEastAsia"/>
          <w:sz w:val="28"/>
          <w:szCs w:val="28"/>
        </w:rPr>
        <w:t>否则将会受到严重惩戒。</w:t>
      </w:r>
    </w:p>
    <w:p>
      <w:pPr>
        <w:rPr>
          <w:rFonts w:asciiTheme="minorEastAsia" w:hAnsiTheme="minorEastAsia"/>
          <w:sz w:val="28"/>
          <w:szCs w:val="28"/>
        </w:rPr>
      </w:pPr>
    </w:p>
    <w:p>
      <w:pPr>
        <w:rPr>
          <w:b/>
        </w:rPr>
      </w:pPr>
      <w:r>
        <w:rPr>
          <w:b/>
        </w:rPr>
        <w:t>转自：央视财经</w:t>
      </w:r>
    </w:p>
    <w:p>
      <w:pPr>
        <w:rPr>
          <w:rFonts w:asciiTheme="minorEastAsia" w:hAnsiTheme="minorEastAsia"/>
          <w:sz w:val="28"/>
          <w:szCs w:val="28"/>
        </w:rPr>
      </w:pPr>
    </w:p>
    <w:p>
      <w:pPr>
        <w:rPr>
          <w:rFonts w:asciiTheme="minorEastAsia" w:hAnsiTheme="minorEastAsia"/>
          <w:sz w:val="28"/>
          <w:szCs w:val="28"/>
        </w:rPr>
      </w:pPr>
    </w:p>
    <w:p>
      <w:pPr>
        <w:pStyle w:val="3"/>
        <w:jc w:val="center"/>
      </w:pPr>
      <w:bookmarkStart w:id="188" w:name="_Toc446330647"/>
      <w:bookmarkStart w:id="189" w:name="_Toc446324709"/>
      <w:bookmarkStart w:id="190" w:name="_Toc446322506"/>
      <w:bookmarkStart w:id="191" w:name="_Toc446330750"/>
      <w:bookmarkStart w:id="192" w:name="_Toc446326778"/>
      <w:r>
        <w:t xml:space="preserve">两会热点 </w:t>
      </w:r>
      <w:r>
        <w:rPr>
          <w:rFonts w:hint="eastAsia"/>
        </w:rPr>
        <w:t>：</w:t>
      </w:r>
      <w:r>
        <w:t>加快融资租赁立法</w:t>
      </w:r>
      <w:bookmarkEnd w:id="188"/>
      <w:bookmarkEnd w:id="189"/>
      <w:bookmarkEnd w:id="190"/>
      <w:bookmarkEnd w:id="191"/>
      <w:bookmarkEnd w:id="192"/>
    </w:p>
    <w:p>
      <w:pPr/>
    </w:p>
    <w:p>
      <w:pPr>
        <w:jc w:val="center"/>
        <w:rPr>
          <w:rFonts w:asciiTheme="minorEastAsia" w:hAnsiTheme="minorEastAsia"/>
          <w:sz w:val="28"/>
          <w:szCs w:val="28"/>
        </w:rPr>
      </w:pPr>
      <w:r>
        <w:rPr>
          <w:rStyle w:val="14"/>
          <w:rFonts w:hint="eastAsia" w:asciiTheme="minorEastAsia" w:hAnsiTheme="minorEastAsia"/>
          <w:color w:val="3E3E3E"/>
          <w:sz w:val="28"/>
          <w:szCs w:val="28"/>
        </w:rPr>
        <w:t>全国人大代表张招兴：关于加快融资租赁立法的议案</w:t>
      </w:r>
    </w:p>
    <w:p>
      <w:pPr>
        <w:jc w:val="center"/>
        <w:rPr>
          <w:rFonts w:asciiTheme="minorEastAsia" w:hAnsiTheme="minorEastAsia"/>
          <w:sz w:val="28"/>
          <w:szCs w:val="28"/>
        </w:rPr>
      </w:pPr>
    </w:p>
    <w:p>
      <w:pPr>
        <w:spacing w:line="480" w:lineRule="exact"/>
        <w:rPr>
          <w:rFonts w:asciiTheme="minorEastAsia" w:hAnsiTheme="minorEastAsia"/>
          <w:sz w:val="28"/>
          <w:szCs w:val="28"/>
        </w:rPr>
      </w:pPr>
      <w:r>
        <w:rPr>
          <w:rFonts w:hint="eastAsia" w:asciiTheme="minorEastAsia" w:hAnsiTheme="minorEastAsia"/>
          <w:sz w:val="28"/>
          <w:szCs w:val="28"/>
        </w:rPr>
        <w:t> </w:t>
      </w:r>
      <w:r>
        <w:rPr>
          <w:rStyle w:val="14"/>
          <w:rFonts w:hint="eastAsia" w:asciiTheme="minorEastAsia" w:hAnsiTheme="minorEastAsia"/>
          <w:color w:val="3E3E3E"/>
          <w:sz w:val="28"/>
          <w:szCs w:val="28"/>
        </w:rPr>
        <w:t>一、案由</w:t>
      </w:r>
      <w:r>
        <w:rPr>
          <w:rFonts w:hint="eastAsia" w:asciiTheme="minorEastAsia" w:hAnsiTheme="minorEastAsia"/>
          <w:sz w:val="28"/>
          <w:szCs w:val="28"/>
        </w:rPr>
        <w:br w:type="textWrapping"/>
      </w:r>
      <w:r>
        <w:rPr>
          <w:rFonts w:hint="eastAsia" w:asciiTheme="minorEastAsia" w:hAnsiTheme="minorEastAsia"/>
          <w:sz w:val="28"/>
          <w:szCs w:val="28"/>
        </w:rPr>
        <w:t>    融资租赁在欧美发达国家是仅次于银行信贷的第二大融资工具，在我国被誉为朝阳产业。融资租赁具有多重功能，能为企业拓宽融资渠道，是社会经济体系中的一个重要环节，近年来全球融资租赁业务量每年都保持在7000亿美元左右。我国融资租赁公司数量由2003年的不足100家发展到目前的600多家，近年来，随着融资租赁社会认知度的加强，大型国有产业集团设立的融资租赁公司逐步增多，融资租赁作为投融资平台在企业集团中的作用得到加强。租赁公司的业务规模持续攀升，目前，各类融资租赁公司注册资本超过1500亿元，其中，金融租赁公司超过600亿元人民币，外资融资租赁公司近600亿人民币，内资试点融资租赁公司约300亿人民币[ 数据来源：中国外商投资企业协会租赁业委员会].融资租赁公司由外商投资为主，发展到国内著名银行、生产企业逐渐成为市场主导力量，例如工商银行、建设银行、交通银行、招商银行、民生银行、兴业银行、浦发银行等商业银行都设立了金融租赁公司，徐工集团、柳工集团、中航集团、南车集团、北车集团等也设立了融资租赁公司。于此同时，其服务领域广泛，融资租赁公司除在交通运输、医疗卫生、文化教育、办公设备、节能减排、工程机械、机床、印刷等传统领域提供融资服务外，农业、轨道交通、民生工程和海外业务得到较快发展。</w:t>
      </w:r>
    </w:p>
    <w:p>
      <w:pPr>
        <w:spacing w:line="480" w:lineRule="exact"/>
        <w:rPr>
          <w:rFonts w:asciiTheme="minorEastAsia" w:hAnsiTheme="minorEastAsia"/>
          <w:sz w:val="28"/>
          <w:szCs w:val="28"/>
        </w:rPr>
      </w:pPr>
      <w:r>
        <w:rPr>
          <w:rFonts w:hint="eastAsia" w:asciiTheme="minorEastAsia" w:hAnsiTheme="minorEastAsia"/>
          <w:sz w:val="28"/>
          <w:szCs w:val="28"/>
        </w:rPr>
        <w:t>但是，伴随着融资租赁行业在我国的迅猛发展及社会经济活动对该行业的迫切需求的提升，为融资租赁行业保驾护航的行业立法目前却仍是空白。2004年十届全国人大常委会曾将《中华人民共和国融资租赁法》列入立法规划，启动了融资租赁立法工作，经过人大财经委融资租赁法起草领导小组和起草工作小组近4年的努力，已经形成了《融资租赁法》（送审稿）。但因种种原因，融资租赁立法目前被搁置。于是上位法的缺失使得我国融资租赁行业在发展的过程中面临着诸多挑战，繁荣发展的同时一步步暴露出了由于缺乏法律保障所带来的严重的“伤痛”。</w:t>
      </w:r>
    </w:p>
    <w:p>
      <w:pPr>
        <w:spacing w:line="480" w:lineRule="exact"/>
        <w:rPr>
          <w:rFonts w:asciiTheme="minorEastAsia" w:hAnsiTheme="minorEastAsia"/>
          <w:sz w:val="28"/>
          <w:szCs w:val="28"/>
        </w:rPr>
      </w:pPr>
      <w:r>
        <w:rPr>
          <w:rFonts w:hint="eastAsia" w:asciiTheme="minorEastAsia" w:hAnsiTheme="minorEastAsia"/>
          <w:sz w:val="28"/>
          <w:szCs w:val="28"/>
        </w:rPr>
        <w:t> </w:t>
      </w:r>
      <w:r>
        <w:rPr>
          <w:rStyle w:val="14"/>
          <w:rFonts w:hint="eastAsia" w:asciiTheme="minorEastAsia" w:hAnsiTheme="minorEastAsia"/>
          <w:color w:val="3E3E3E"/>
          <w:sz w:val="28"/>
          <w:szCs w:val="28"/>
        </w:rPr>
        <w:t>二、案据</w:t>
      </w:r>
    </w:p>
    <w:p>
      <w:pPr>
        <w:spacing w:line="480" w:lineRule="exact"/>
        <w:rPr>
          <w:rFonts w:asciiTheme="minorEastAsia" w:hAnsiTheme="minorEastAsia"/>
          <w:sz w:val="28"/>
          <w:szCs w:val="28"/>
        </w:rPr>
      </w:pPr>
      <w:r>
        <w:rPr>
          <w:rFonts w:hint="eastAsia" w:asciiTheme="minorEastAsia" w:hAnsiTheme="minorEastAsia"/>
          <w:sz w:val="28"/>
          <w:szCs w:val="28"/>
        </w:rPr>
        <w:t>目前，融资租赁法制建设中多部门管理及与融资租赁行业相关的零散的法律条款部门规章制度并行现状为这个行业的进一步发展带来了诸多严重问题：</w:t>
      </w:r>
    </w:p>
    <w:p>
      <w:pPr>
        <w:spacing w:line="480" w:lineRule="exact"/>
        <w:rPr>
          <w:rFonts w:asciiTheme="minorEastAsia" w:hAnsiTheme="minorEastAsia"/>
          <w:sz w:val="28"/>
          <w:szCs w:val="28"/>
        </w:rPr>
      </w:pPr>
      <w:r>
        <w:rPr>
          <w:rStyle w:val="14"/>
          <w:rFonts w:hint="eastAsia" w:asciiTheme="minorEastAsia" w:hAnsiTheme="minorEastAsia"/>
          <w:color w:val="3E3E3E"/>
          <w:sz w:val="28"/>
          <w:szCs w:val="28"/>
        </w:rPr>
        <w:t>（一）最高人民法院关于融资租赁的司法解释无法律支撑</w:t>
      </w:r>
    </w:p>
    <w:p>
      <w:pPr>
        <w:spacing w:line="480" w:lineRule="exact"/>
        <w:ind w:firstLine="700" w:firstLineChars="250"/>
        <w:rPr>
          <w:rFonts w:asciiTheme="minorEastAsia" w:hAnsiTheme="minorEastAsia"/>
          <w:sz w:val="28"/>
          <w:szCs w:val="28"/>
        </w:rPr>
      </w:pPr>
      <w:r>
        <w:rPr>
          <w:rFonts w:hint="eastAsia" w:asciiTheme="minorEastAsia" w:hAnsiTheme="minorEastAsia"/>
          <w:sz w:val="28"/>
          <w:szCs w:val="28"/>
        </w:rPr>
        <w:t>融资租赁业的发展给融资租赁的法制建设带来了挑战。作为“舶来品”，融资租赁来到中国之初，并没有相关的法律规定。发生案件纠纷时，当事人起诉到法院，法官对于这种交易形式不认同，甚至对合同的公平性、有效性产生质疑，出现了一些不符合国际惯例的判例。为了指导人民法院审理有关融资租赁纠纷，最高人民法院于1996年发布了《关于审理融资租赁合同纠纷案件若干问题的规定》，以司法解释的形式弥补立法不足的空白，在没有立法的情况下就先有了司法解释，在立法实践中也属少见，在一定程度上缓解了当时融资租赁业面临的诉讼难的问题。</w:t>
      </w:r>
    </w:p>
    <w:p>
      <w:pPr>
        <w:spacing w:line="480" w:lineRule="exact"/>
        <w:rPr>
          <w:rFonts w:asciiTheme="minorEastAsia" w:hAnsiTheme="minorEastAsia"/>
          <w:sz w:val="28"/>
          <w:szCs w:val="28"/>
        </w:rPr>
      </w:pPr>
      <w:r>
        <w:rPr>
          <w:rStyle w:val="14"/>
          <w:rFonts w:hint="eastAsia" w:asciiTheme="minorEastAsia" w:hAnsiTheme="minorEastAsia"/>
          <w:color w:val="3E3E3E"/>
          <w:sz w:val="28"/>
          <w:szCs w:val="28"/>
        </w:rPr>
        <w:t>（二）《合同法》无法为融资租赁合同提供物权依据</w:t>
      </w:r>
      <w:r>
        <w:rPr>
          <w:rFonts w:hint="eastAsia" w:asciiTheme="minorEastAsia" w:hAnsiTheme="minorEastAsia"/>
          <w:sz w:val="28"/>
          <w:szCs w:val="28"/>
        </w:rPr>
        <w:br w:type="textWrapping"/>
      </w:r>
      <w:r>
        <w:rPr>
          <w:rFonts w:hint="eastAsia" w:asciiTheme="minorEastAsia" w:hAnsiTheme="minorEastAsia"/>
          <w:sz w:val="28"/>
          <w:szCs w:val="28"/>
        </w:rPr>
        <w:t>     1999年《合同法》的出台为融资租赁提供了法律上的依据。《合同法》第14章融资租赁合同从私法的角度明确了融资租赁三方当事人的权利及义务分配，对合同订立、合同生效、合同内容、合同履行、合同变更和转让、合同终止和解除等做了原则性的规定，对融资租赁立法具有里程碑的重要意义。然而，由于《合同法》是债权法，关于融资租赁的规定仅限于债权方面的规定，在租赁物的种类、租赁物的登记、租赁物取回等物权方面和机构管理等方面的内容没有涉及。从立法体例上看，在《合同法》中对具有相对独立理论和逻辑体系的融资租赁包含需要单行立法解决的繁杂内容，会带来《合同法》立法体例的巨大改变，也使得在《合同法》中完善融资租赁法律不好实施。</w:t>
      </w:r>
      <w:r>
        <w:rPr>
          <w:rStyle w:val="14"/>
          <w:rFonts w:hint="eastAsia" w:asciiTheme="minorEastAsia" w:hAnsiTheme="minorEastAsia"/>
          <w:color w:val="3E3E3E"/>
          <w:sz w:val="28"/>
          <w:szCs w:val="28"/>
        </w:rPr>
        <w:t>（三）多头监管导致监管法规并行存在</w:t>
      </w:r>
      <w:r>
        <w:rPr>
          <w:rFonts w:hint="eastAsia" w:asciiTheme="minorEastAsia" w:hAnsiTheme="minorEastAsia"/>
          <w:sz w:val="28"/>
          <w:szCs w:val="28"/>
        </w:rPr>
        <w:br w:type="textWrapping"/>
      </w:r>
      <w:r>
        <w:rPr>
          <w:rFonts w:hint="eastAsia" w:asciiTheme="minorEastAsia" w:hAnsiTheme="minorEastAsia"/>
          <w:sz w:val="28"/>
          <w:szCs w:val="28"/>
        </w:rPr>
        <w:t>    此外，在行业监管方面，目前存在着商务部对其监管的外商投资融资租赁公司制定的《外商投资租赁业管理办法》（商务部令2005年第5号）及银监会对其监管的金融租赁公司制定的《金融租赁公司管理办法》（银监会令2007年第1号），而内资试点融资租赁公司依据的则为2004年商务部、国家税务总局发布的《关于从事融资租赁业务有关问题的通知》。这些监管文件对融资租赁公司的市场准入、退出以及经营过程中的风险管理做了规定，但其立法级别较低，仅为部门规章或通知，缺乏足够的法律效力。</w:t>
      </w:r>
    </w:p>
    <w:p>
      <w:pPr>
        <w:spacing w:line="480" w:lineRule="exact"/>
        <w:rPr>
          <w:rFonts w:asciiTheme="minorEastAsia" w:hAnsiTheme="minorEastAsia"/>
          <w:sz w:val="28"/>
          <w:szCs w:val="28"/>
        </w:rPr>
      </w:pPr>
      <w:r>
        <w:rPr>
          <w:rStyle w:val="14"/>
          <w:rFonts w:hint="eastAsia" w:asciiTheme="minorEastAsia" w:hAnsiTheme="minorEastAsia"/>
          <w:color w:val="3E3E3E"/>
          <w:sz w:val="28"/>
          <w:szCs w:val="28"/>
        </w:rPr>
        <w:t>（四）其他法律法规给融资租赁发展带来一系列问题</w:t>
      </w:r>
      <w:r>
        <w:rPr>
          <w:rFonts w:hint="eastAsia" w:asciiTheme="minorEastAsia" w:hAnsiTheme="minorEastAsia"/>
          <w:sz w:val="28"/>
          <w:szCs w:val="28"/>
        </w:rPr>
        <w:br w:type="textWrapping"/>
      </w:r>
      <w:r>
        <w:rPr>
          <w:rFonts w:hint="eastAsia" w:asciiTheme="minorEastAsia" w:hAnsiTheme="minorEastAsia"/>
          <w:sz w:val="28"/>
          <w:szCs w:val="28"/>
        </w:rPr>
        <w:t>    此外，关于融资租赁的法律规定还散见在其他不同的法律法规之中，还有很多零星的、散落的法规、政策。而现行的这些关于融资租赁的规定中，还存在着很多相互不协调甚至矛盾的地方，阻碍了融资租赁实践的发展。如：</w:t>
      </w:r>
    </w:p>
    <w:p>
      <w:pPr>
        <w:spacing w:line="480" w:lineRule="exact"/>
        <w:ind w:firstLine="700" w:firstLineChars="250"/>
        <w:rPr>
          <w:rFonts w:asciiTheme="minorEastAsia" w:hAnsiTheme="minorEastAsia"/>
          <w:sz w:val="28"/>
          <w:szCs w:val="28"/>
        </w:rPr>
      </w:pPr>
      <w:r>
        <w:rPr>
          <w:rFonts w:hint="eastAsia" w:asciiTheme="minorEastAsia" w:hAnsiTheme="minorEastAsia"/>
          <w:sz w:val="28"/>
          <w:szCs w:val="28"/>
        </w:rPr>
        <w:t>1、行政机关由于对于融资租赁交易模式的本质特点不了解而发生的限制交易的行为时有发生：①海关问题，即承租人减免关税的优惠政策不应因以融资租赁方式进口而受到影响。目前在部分地方海关仍然以租赁物的所有人为融资租赁公司为由，不予办理减免税；②药监局对于融资租赁公司持有医疗器械的所有权提出异议，要求融资租赁公司按照行政要求取得医疗器械的经营许可。融资租赁公司完全是根据承租人的选择和要求为其提供购买医疗器械的融资，并不参与对医疗器械的经营活动，无须也不可能具备经营许可的条件；③飞机进口许可证仅发给航空公司，融资租赁公司没有引进飞机的许可，当事人只好通过售后回租等方式实现交易，增加了交易环节和交易成本。</w:t>
      </w:r>
    </w:p>
    <w:p>
      <w:pPr>
        <w:spacing w:line="480" w:lineRule="exact"/>
        <w:ind w:firstLine="420" w:firstLineChars="150"/>
        <w:rPr>
          <w:rFonts w:asciiTheme="minorEastAsia" w:hAnsiTheme="minorEastAsia"/>
          <w:sz w:val="28"/>
          <w:szCs w:val="28"/>
        </w:rPr>
      </w:pPr>
      <w:r>
        <w:rPr>
          <w:rFonts w:hint="eastAsia" w:asciiTheme="minorEastAsia" w:hAnsiTheme="minorEastAsia"/>
          <w:sz w:val="28"/>
          <w:szCs w:val="28"/>
        </w:rPr>
        <w:t> 2、一些新的法律法规出台后，在相关的配套法律法规规定中并没有充分反映融资租赁交易模式的特性，有关融资租赁的特殊内容并没有在新法中体现。主要有：①关于租赁物的登记问题。如特殊动产如车辆的登记对抗问题，根据《物权法》第24条的规定，机动车物权的设立、变更、转让和消灭，未经登记，不得对抗善意第三人。然而，根据现行有关机动车登记相关法规的规定，公安机关车辆管理所对机动车的登记仅为保证机动车安全上路行驶的一种行政措施，而非对机动车所有权的登记。这样一来，由于缺少一个有效的登记制度，出租人的利益难以得到保障，机动车融资租赁业务受到很大的制约；②关于《物权法》第106条规定的善意取得制度对出租人的隐患。融资租赁本身是一项中长期的融资，在租赁期限内，租赁物被承租人所占有，出租人并不实际占有和控制租赁物，这一点与占有与所有临时脱离的其他交易模式不同，如果没有一个法定的登记制度对租赁物上的权属状况予以公示，在承租人违约将租赁物转让给第三人时，出租人的权利就很难对抗善意取得的第三人。具有法律上的公示效力的登记需要有立法机关的授权才能够生效，而我国目前还没有系统有效的融资租赁登记制度。中国人民银行的征信系统中虽然有融资租赁登记系统，但由于没有被赋予法律效力且不是强制登记，使得实操中，很多融资租赁公司被恶意的承租方拖进旷日持久的维权诉讼中，有时甚至为保护自己对租赁物的所有权，同为受害者的两家租赁公司不得不无奈对簿公堂。</w:t>
      </w:r>
    </w:p>
    <w:p>
      <w:pPr>
        <w:spacing w:line="480" w:lineRule="exact"/>
        <w:ind w:firstLine="560" w:firstLineChars="200"/>
        <w:rPr>
          <w:rFonts w:asciiTheme="minorEastAsia" w:hAnsiTheme="minorEastAsia"/>
          <w:sz w:val="28"/>
          <w:szCs w:val="28"/>
        </w:rPr>
      </w:pPr>
      <w:r>
        <w:rPr>
          <w:rFonts w:hint="eastAsia" w:asciiTheme="minorEastAsia" w:hAnsiTheme="minorEastAsia"/>
          <w:sz w:val="28"/>
          <w:szCs w:val="28"/>
        </w:rPr>
        <w:t>3、融资租赁标的物范围存在很大的争议。</w:t>
      </w:r>
    </w:p>
    <w:p>
      <w:pPr>
        <w:spacing w:line="480" w:lineRule="exact"/>
        <w:rPr>
          <w:rFonts w:asciiTheme="minorEastAsia" w:hAnsiTheme="minorEastAsia"/>
          <w:sz w:val="28"/>
          <w:szCs w:val="28"/>
        </w:rPr>
      </w:pPr>
      <w:r>
        <w:rPr>
          <w:rFonts w:hint="eastAsia" w:asciiTheme="minorEastAsia" w:hAnsiTheme="minorEastAsia"/>
          <w:sz w:val="28"/>
          <w:szCs w:val="28"/>
        </w:rPr>
        <w:t>租赁物的范围不一致，尤其是不动产是否可以做租赁，一直存在着争议：</w:t>
      </w:r>
    </w:p>
    <w:p>
      <w:pPr>
        <w:spacing w:line="480" w:lineRule="exact"/>
        <w:rPr>
          <w:rFonts w:asciiTheme="minorEastAsia" w:hAnsiTheme="minorEastAsia"/>
          <w:sz w:val="28"/>
          <w:szCs w:val="28"/>
        </w:rPr>
      </w:pPr>
      <w:r>
        <w:rPr>
          <w:rFonts w:hint="eastAsia" w:asciiTheme="minorEastAsia" w:hAnsiTheme="minorEastAsia"/>
          <w:sz w:val="28"/>
          <w:szCs w:val="28"/>
        </w:rPr>
        <w:t>① 商务部作为外商投资融资租赁公司的主管部门，其颁发的《外商投资租赁业管理办法》第六条规定，租赁财产只能是动产及交通工具附带的软件、技术等无形资产，这样大大限制了外商投资融资租赁公司的业务范围。</w:t>
      </w:r>
    </w:p>
    <w:p>
      <w:pPr>
        <w:spacing w:line="480" w:lineRule="exact"/>
        <w:rPr>
          <w:rFonts w:asciiTheme="minorEastAsia" w:hAnsiTheme="minorEastAsia"/>
          <w:sz w:val="28"/>
          <w:szCs w:val="28"/>
        </w:rPr>
      </w:pPr>
      <w:r>
        <w:rPr>
          <w:rFonts w:hint="eastAsia" w:asciiTheme="minorEastAsia" w:hAnsiTheme="minorEastAsia"/>
          <w:sz w:val="28"/>
          <w:szCs w:val="28"/>
        </w:rPr>
        <w:t>② 银监会作为金融租赁公司的主管部门，其颁布的《金融租赁公司管理办法》却规定租赁资产为固定资产，将不动产也纳入了融资租赁经营的范围内，并未作出特别的限制。</w:t>
      </w:r>
    </w:p>
    <w:p>
      <w:pPr>
        <w:spacing w:line="480" w:lineRule="exact"/>
        <w:rPr>
          <w:rFonts w:asciiTheme="minorEastAsia" w:hAnsiTheme="minorEastAsia"/>
          <w:sz w:val="28"/>
          <w:szCs w:val="28"/>
        </w:rPr>
      </w:pPr>
      <w:r>
        <w:rPr>
          <w:rFonts w:hint="eastAsia" w:asciiTheme="minorEastAsia" w:hAnsiTheme="minorEastAsia"/>
          <w:sz w:val="28"/>
          <w:szCs w:val="28"/>
        </w:rPr>
        <w:t>③ 国际上一些被普遍参照的规范性文件也没有将不动产排除在租赁财产的范围外，如《国际统一私法协会国际融资租赁公约》规定，融资租赁的标的物为工厂、资本货物或其它设备（设备）；《租赁示范法》规定，租赁物是指承租人所有用于经营活动的财产，包括不动产、资本货物、设备、未来财产，特定的产成品、厂房和役畜（包括未出生的役畜），不包含货币或者有价证券，不会仅因其附着于或嵌入不动产而不再是租赁物。</w:t>
      </w:r>
    </w:p>
    <w:p>
      <w:pPr>
        <w:spacing w:line="480" w:lineRule="exact"/>
        <w:ind w:firstLine="420" w:firstLineChars="150"/>
        <w:rPr>
          <w:rFonts w:asciiTheme="minorEastAsia" w:hAnsiTheme="minorEastAsia"/>
          <w:sz w:val="28"/>
          <w:szCs w:val="28"/>
        </w:rPr>
      </w:pPr>
      <w:r>
        <w:rPr>
          <w:rFonts w:hint="eastAsia" w:asciiTheme="minorEastAsia" w:hAnsiTheme="minorEastAsia"/>
          <w:sz w:val="28"/>
          <w:szCs w:val="28"/>
        </w:rPr>
        <w:t>《外商投资租赁业管理办法》对租赁物的限制使得我国的外商投资融资租赁公司在我国及国际市场的竞争中处于不平等的地位，不利于我国融资租赁业的发展。</w:t>
      </w:r>
    </w:p>
    <w:p>
      <w:pPr>
        <w:spacing w:line="480" w:lineRule="exact"/>
        <w:ind w:firstLine="560" w:firstLineChars="200"/>
        <w:rPr>
          <w:rFonts w:asciiTheme="minorEastAsia" w:hAnsiTheme="minorEastAsia"/>
          <w:sz w:val="28"/>
          <w:szCs w:val="28"/>
        </w:rPr>
      </w:pPr>
      <w:r>
        <w:rPr>
          <w:rFonts w:hint="eastAsia" w:asciiTheme="minorEastAsia" w:hAnsiTheme="minorEastAsia"/>
          <w:sz w:val="28"/>
          <w:szCs w:val="28"/>
        </w:rPr>
        <w:t>从上述情况的分析，不难看出，随着融资租赁业务的迅猛发展，亟需为规范和保护融资租赁业务健康发展的单行行业立法。随着我国经济的发展，融资租赁在我国经济中的比重和涉及领域大大增加。从融资租赁的特性上看，它是基于资产的融资，全球租赁交易总量已占世界经济总量的很大比例。我国的融资租赁业务的快速全球化，也将使其成为该经济总量的重要组成部分，立法成为经济需求。</w:t>
      </w:r>
    </w:p>
    <w:p>
      <w:pPr>
        <w:spacing w:line="480" w:lineRule="exact"/>
        <w:ind w:firstLine="560" w:firstLineChars="200"/>
        <w:rPr>
          <w:rFonts w:asciiTheme="minorEastAsia" w:hAnsiTheme="minorEastAsia"/>
          <w:sz w:val="28"/>
          <w:szCs w:val="28"/>
        </w:rPr>
      </w:pPr>
      <w:r>
        <w:rPr>
          <w:rFonts w:hint="eastAsia" w:asciiTheme="minorEastAsia" w:hAnsiTheme="minorEastAsia"/>
          <w:sz w:val="28"/>
          <w:szCs w:val="28"/>
        </w:rPr>
        <w:t>虽然融资租赁立法暂时搁置，但是，立法条件已经相对成熟。首先是较长时间的立法过程和众多领域专业人员的参与已经大大提高了社会各界对融资租赁的认知程度，普及推广了融资租赁观念；其次，融资租赁立法的社会需求已经引发了社会各界对融资租赁法律问题的广泛关注和探讨，立法技术已臻于成熟；再次，融资租赁业务的国际化和国际上融资租赁立法也督促着我国立法的进程，国际上现在也有对融资租赁进行专门立法的趋势，特别是在新兴市场国家最近几年立法的较多。目前除了我们所熟知的融资租赁国际公约以外，在国际统一私法协会的推动下，已制定并通过了《租赁示范法》，其目的就是为各国立法提供一个范本，并积极推动各国立法。国际融资租赁环境的优化也在催生我国的融资租赁立法。</w:t>
      </w:r>
    </w:p>
    <w:p>
      <w:pPr>
        <w:spacing w:line="480" w:lineRule="exact"/>
        <w:ind w:firstLine="560" w:firstLineChars="200"/>
        <w:rPr>
          <w:rFonts w:asciiTheme="minorEastAsia" w:hAnsiTheme="minorEastAsia"/>
          <w:sz w:val="28"/>
          <w:szCs w:val="28"/>
        </w:rPr>
      </w:pPr>
      <w:r>
        <w:rPr>
          <w:rFonts w:hint="eastAsia" w:asciiTheme="minorEastAsia" w:hAnsiTheme="minorEastAsia"/>
          <w:sz w:val="28"/>
          <w:szCs w:val="28"/>
        </w:rPr>
        <w:t>因此，国内外经济环境以及国内融资租赁行业发展的现状在呼唤我国的融资租赁专门立法的出台，呼吁以全国人大财经委融资租赁法起草小组和起草工作小组的《融资租赁法（草案）》为基础，制定并颁布《中华人民共和国融资租赁法》。</w:t>
      </w:r>
    </w:p>
    <w:p>
      <w:pPr>
        <w:spacing w:line="480" w:lineRule="exact"/>
        <w:ind w:firstLine="560" w:firstLineChars="200"/>
        <w:rPr>
          <w:rFonts w:asciiTheme="minorEastAsia" w:hAnsiTheme="minorEastAsia"/>
          <w:sz w:val="28"/>
          <w:szCs w:val="28"/>
        </w:rPr>
      </w:pPr>
      <w:r>
        <w:rPr>
          <w:rFonts w:hint="eastAsia" w:asciiTheme="minorEastAsia" w:hAnsiTheme="minorEastAsia"/>
          <w:sz w:val="28"/>
          <w:szCs w:val="28"/>
        </w:rPr>
        <w:t>通过《中华人民共和国融资租赁法》的颁布，规范融资租赁活动，维护融资租赁市场秩序，保护融资租赁当事人的合法权益，促进融资租赁业的健康发展。</w:t>
      </w:r>
    </w:p>
    <w:p>
      <w:pPr>
        <w:spacing w:line="480" w:lineRule="exact"/>
        <w:rPr>
          <w:rFonts w:asciiTheme="minorEastAsia" w:hAnsiTheme="minorEastAsia"/>
          <w:sz w:val="28"/>
          <w:szCs w:val="28"/>
        </w:rPr>
      </w:pPr>
      <w:r>
        <w:rPr>
          <w:rFonts w:hint="eastAsia" w:asciiTheme="minorEastAsia" w:hAnsiTheme="minorEastAsia"/>
          <w:sz w:val="28"/>
          <w:szCs w:val="28"/>
        </w:rPr>
        <w:t> </w:t>
      </w:r>
    </w:p>
    <w:p>
      <w:pPr>
        <w:spacing w:line="480" w:lineRule="exact"/>
        <w:rPr>
          <w:rFonts w:asciiTheme="minorEastAsia" w:hAnsiTheme="minorEastAsia"/>
          <w:sz w:val="28"/>
          <w:szCs w:val="28"/>
        </w:rPr>
      </w:pPr>
      <w:r>
        <w:rPr>
          <w:rStyle w:val="14"/>
          <w:rFonts w:hint="eastAsia" w:asciiTheme="minorEastAsia" w:hAnsiTheme="minorEastAsia"/>
          <w:color w:val="3E3E3E"/>
          <w:sz w:val="28"/>
          <w:szCs w:val="28"/>
        </w:rPr>
        <w:t>全国人大代表王学东：加快融资租赁立法</w:t>
      </w:r>
    </w:p>
    <w:p>
      <w:pPr>
        <w:spacing w:line="480" w:lineRule="exact"/>
        <w:ind w:firstLine="560" w:firstLineChars="200"/>
        <w:rPr>
          <w:rFonts w:asciiTheme="minorEastAsia" w:hAnsiTheme="minorEastAsia"/>
          <w:sz w:val="28"/>
          <w:szCs w:val="28"/>
        </w:rPr>
      </w:pPr>
      <w:r>
        <w:rPr>
          <w:rFonts w:hint="eastAsia" w:asciiTheme="minorEastAsia" w:hAnsiTheme="minorEastAsia"/>
          <w:sz w:val="28"/>
          <w:szCs w:val="28"/>
        </w:rPr>
        <w:t>融资租赁，因其具有融物和融资两项功能，在支持实体经济、支持装备制造业出口、盘活固定资产方面具有独特的优势，至2014年我国融资租赁规模已超过3万亿元，成为继信贷、证券、信托后国内第四大金融工具。 </w:t>
      </w:r>
    </w:p>
    <w:p>
      <w:pPr>
        <w:spacing w:line="480" w:lineRule="exact"/>
        <w:ind w:firstLine="560" w:firstLineChars="200"/>
        <w:rPr>
          <w:rFonts w:asciiTheme="minorEastAsia" w:hAnsiTheme="minorEastAsia"/>
          <w:sz w:val="28"/>
          <w:szCs w:val="28"/>
        </w:rPr>
      </w:pPr>
      <w:r>
        <w:rPr>
          <w:rFonts w:hint="eastAsia" w:asciiTheme="minorEastAsia" w:hAnsiTheme="minorEastAsia"/>
          <w:sz w:val="28"/>
          <w:szCs w:val="28"/>
        </w:rPr>
        <w:t>但反观现有的法律环境，已不能满足融资租赁业的蓬勃发展，某些法规、规章甚至成为融资租赁发展的障碍。全国人大代表、国银金融租赁有限公司党委书记王学东今年提出一份“关于加快融资租赁立法的建议”。他认为，为规范国家金融秩序，保障融资租赁各方合法权益，促进融资租赁行业健康发展，有必要制定统一的融资租赁法律。 </w:t>
      </w:r>
    </w:p>
    <w:p>
      <w:pPr>
        <w:spacing w:line="480" w:lineRule="exact"/>
        <w:ind w:firstLine="560" w:firstLineChars="200"/>
        <w:rPr>
          <w:rFonts w:asciiTheme="minorEastAsia" w:hAnsiTheme="minorEastAsia"/>
          <w:sz w:val="28"/>
          <w:szCs w:val="28"/>
        </w:rPr>
      </w:pPr>
      <w:r>
        <w:rPr>
          <w:rFonts w:hint="eastAsia" w:asciiTheme="minorEastAsia" w:hAnsiTheme="minorEastAsia"/>
          <w:sz w:val="28"/>
          <w:szCs w:val="28"/>
        </w:rPr>
        <w:t>统计显示，从2007年到2014年，我国融资租赁每年新增业务额由800亿元提升至9300亿元。截至2014年末，我国成立金融租赁公司30家，注册资本972亿元；成立融资租赁公司2000余家，注册资本5600余亿元。 </w:t>
      </w:r>
    </w:p>
    <w:p>
      <w:pPr>
        <w:spacing w:line="480" w:lineRule="exact"/>
        <w:ind w:firstLine="560" w:firstLineChars="200"/>
        <w:rPr>
          <w:rFonts w:asciiTheme="minorEastAsia" w:hAnsiTheme="minorEastAsia"/>
          <w:sz w:val="28"/>
          <w:szCs w:val="28"/>
        </w:rPr>
      </w:pPr>
      <w:r>
        <w:rPr>
          <w:rFonts w:hint="eastAsia" w:asciiTheme="minorEastAsia" w:hAnsiTheme="minorEastAsia"/>
          <w:sz w:val="28"/>
          <w:szCs w:val="28"/>
        </w:rPr>
        <w:t>王学东认为，融资租赁业已形成以银行设立的金融租赁公司为主，大型企业与制造商设立的租赁公司齐头并进、多头鼎立的局面。在服务领域上依托股东专业优势，在各个领域百花齐放。中央过去几年在多份文件中提出支持融资租赁业发展，北京、上海等地方政府纷纷出台促进融资租赁业发展的政策措施，政策带来的红利在持续发酵，融资租赁业正面临更大的发展机遇。</w:t>
      </w:r>
    </w:p>
    <w:p>
      <w:pPr>
        <w:spacing w:line="480" w:lineRule="exact"/>
        <w:ind w:firstLine="560" w:firstLineChars="200"/>
        <w:rPr>
          <w:rFonts w:asciiTheme="minorEastAsia" w:hAnsiTheme="minorEastAsia"/>
          <w:sz w:val="28"/>
          <w:szCs w:val="28"/>
        </w:rPr>
      </w:pPr>
      <w:r>
        <w:rPr>
          <w:rFonts w:hint="eastAsia" w:asciiTheme="minorEastAsia" w:hAnsiTheme="minorEastAsia"/>
          <w:sz w:val="28"/>
          <w:szCs w:val="28"/>
        </w:rPr>
        <w:t>在融资租赁业蓬勃发展的同时，现有法律环境仍然滞后，甚至成为融资租赁业发展的障碍。王学东表示，虽然我国《合同法》对融资租赁合同有所规范，但其债权行为规范的性质决定了对融资租赁中的物权部分难以进行调整，同时滥用《物权法》善意第三人制度的行为给融资租赁行业带来了较大的损害，出租人的租赁物被承租人恶意处分及第三人随意查封的案件时有发生。</w:t>
      </w:r>
    </w:p>
    <w:p>
      <w:pPr>
        <w:spacing w:line="480" w:lineRule="exact"/>
        <w:ind w:firstLine="560" w:firstLineChars="200"/>
        <w:rPr>
          <w:rFonts w:asciiTheme="minorEastAsia" w:hAnsiTheme="minorEastAsia"/>
          <w:sz w:val="28"/>
          <w:szCs w:val="28"/>
        </w:rPr>
      </w:pPr>
      <w:r>
        <w:rPr>
          <w:rFonts w:hint="eastAsia" w:asciiTheme="minorEastAsia" w:hAnsiTheme="minorEastAsia"/>
          <w:sz w:val="28"/>
          <w:szCs w:val="28"/>
        </w:rPr>
        <w:t>此外，由于融资租赁的复合功能，业务涉及很多环节和方面，特别是交易模式、物权保护、财税政策，仅依靠《合同法》及司法解释方面的规定还不能充分、有效地保障融资租赁业的发展。一些涉及融资租赁各方面的规定散见于不同的法律、法规、规章中，还有很多零星、散落的政策，缺乏统一梳理、协调和规范。同时，与融资租赁业类似的行业如信托、基金等都有专门立法，作为市场第四大金融产品，融资租赁在法律上的地位与其市场地位严重不匹配，市场需要统一的融资租赁法进行调整。 </w:t>
      </w:r>
    </w:p>
    <w:p>
      <w:pPr>
        <w:spacing w:line="480" w:lineRule="exact"/>
        <w:ind w:firstLine="560" w:firstLineChars="200"/>
        <w:rPr>
          <w:rFonts w:asciiTheme="minorEastAsia" w:hAnsiTheme="minorEastAsia"/>
          <w:sz w:val="28"/>
          <w:szCs w:val="28"/>
        </w:rPr>
      </w:pPr>
      <w:r>
        <w:rPr>
          <w:rFonts w:hint="eastAsia" w:asciiTheme="minorEastAsia" w:hAnsiTheme="minorEastAsia"/>
          <w:sz w:val="28"/>
          <w:szCs w:val="28"/>
        </w:rPr>
        <w:t>正由于缺乏统一、明确的立法，国家有关部委在制定部门规章时，往往忽略融资租赁的金融特性。例如在过去几年的“营改增”过程中，各地税务部门对融资租赁的认识不一，有的偏重于融资属性，有的偏重于融物属性，有的看重实质、有的看重表象，操作起来五花八门，给租赁业造成很大的困惑，甚至一度被迫中断了深受欢迎的设备售后回租业务。 </w:t>
      </w:r>
    </w:p>
    <w:p>
      <w:pPr>
        <w:spacing w:line="480" w:lineRule="exact"/>
        <w:ind w:firstLine="560" w:firstLineChars="200"/>
        <w:rPr>
          <w:rFonts w:asciiTheme="minorEastAsia" w:hAnsiTheme="minorEastAsia"/>
          <w:sz w:val="28"/>
          <w:szCs w:val="28"/>
        </w:rPr>
      </w:pPr>
      <w:r>
        <w:rPr>
          <w:rFonts w:hint="eastAsia" w:asciiTheme="minorEastAsia" w:hAnsiTheme="minorEastAsia"/>
          <w:sz w:val="28"/>
          <w:szCs w:val="28"/>
        </w:rPr>
        <w:t>据此，王学东建议，应当制定“中华人民共和国融资租赁法”，明确融资租赁的金融属性，保护出租人对租赁物的所有权。同时，明确租赁物的产权登记原则及有关登记、交易税费的处理原则，特别是不动产融资租赁的属性及登记，规定在动产和不动产登记中应具备融资租赁的产权登记项目，合理处理其与《物权法》中善意取得制度之间的关系。根据特殊租赁物的属性，如机动车、航空器、船舶、卫星等，规定适用于该类租赁物的回收、处置程序。</w:t>
      </w:r>
    </w:p>
    <w:p>
      <w:pPr>
        <w:spacing w:line="480" w:lineRule="exact"/>
        <w:rPr>
          <w:rFonts w:asciiTheme="minorEastAsia" w:hAnsiTheme="minorEastAsia"/>
          <w:sz w:val="28"/>
          <w:szCs w:val="28"/>
        </w:rPr>
      </w:pPr>
      <w:r>
        <w:rPr>
          <w:rStyle w:val="14"/>
          <w:rFonts w:hint="eastAsia" w:asciiTheme="minorEastAsia" w:hAnsiTheme="minorEastAsia"/>
          <w:color w:val="3E3E3E"/>
          <w:sz w:val="28"/>
          <w:szCs w:val="28"/>
        </w:rPr>
        <w:t> </w:t>
      </w:r>
    </w:p>
    <w:p>
      <w:pPr>
        <w:spacing w:line="480" w:lineRule="exact"/>
        <w:rPr>
          <w:rFonts w:asciiTheme="minorEastAsia" w:hAnsiTheme="minorEastAsia"/>
          <w:sz w:val="28"/>
          <w:szCs w:val="28"/>
        </w:rPr>
      </w:pPr>
      <w:r>
        <w:rPr>
          <w:rStyle w:val="14"/>
          <w:rFonts w:hint="eastAsia" w:asciiTheme="minorEastAsia" w:hAnsiTheme="minorEastAsia"/>
          <w:color w:val="3E3E3E"/>
          <w:sz w:val="28"/>
          <w:szCs w:val="28"/>
        </w:rPr>
        <w:t>全国人大代表胡大明：加快民间融资监管立法步伐</w:t>
      </w:r>
    </w:p>
    <w:p>
      <w:pPr>
        <w:spacing w:line="480" w:lineRule="exact"/>
        <w:ind w:firstLine="560" w:firstLineChars="200"/>
        <w:rPr>
          <w:rFonts w:asciiTheme="minorEastAsia" w:hAnsiTheme="minorEastAsia"/>
          <w:sz w:val="28"/>
          <w:szCs w:val="28"/>
        </w:rPr>
      </w:pPr>
      <w:r>
        <w:rPr>
          <w:rFonts w:hint="eastAsia" w:asciiTheme="minorEastAsia" w:hAnsiTheme="minorEastAsia"/>
          <w:sz w:val="28"/>
          <w:szCs w:val="28"/>
        </w:rPr>
        <w:t>民间融资规模近年来不断扩大，已成为中小微企业、个体工商户及“三农”的重要融资渠道。“民间融资是我国社</w:t>
      </w:r>
    </w:p>
    <w:p>
      <w:pPr>
        <w:spacing w:line="480" w:lineRule="exact"/>
        <w:rPr>
          <w:rFonts w:asciiTheme="minorEastAsia" w:hAnsiTheme="minorEastAsia"/>
          <w:sz w:val="28"/>
          <w:szCs w:val="28"/>
        </w:rPr>
      </w:pPr>
      <w:r>
        <w:rPr>
          <w:rFonts w:hint="eastAsia" w:asciiTheme="minorEastAsia" w:hAnsiTheme="minorEastAsia"/>
          <w:sz w:val="28"/>
          <w:szCs w:val="28"/>
        </w:rPr>
        <w:t>会资金融通的重要组成部分，在蓬勃发展的同时，相关管理工作相对滞后。”全国人大代表胡大明认为，加强顶层设计，正确引导和规范民间融资，是当前亟待解决的问题。</w:t>
      </w:r>
    </w:p>
    <w:p>
      <w:pPr>
        <w:spacing w:line="480" w:lineRule="exact"/>
        <w:ind w:firstLine="560" w:firstLineChars="200"/>
        <w:rPr>
          <w:rFonts w:asciiTheme="minorEastAsia" w:hAnsiTheme="minorEastAsia"/>
          <w:sz w:val="28"/>
          <w:szCs w:val="28"/>
        </w:rPr>
      </w:pPr>
      <w:r>
        <w:rPr>
          <w:rFonts w:hint="eastAsia" w:asciiTheme="minorEastAsia" w:hAnsiTheme="minorEastAsia"/>
          <w:sz w:val="28"/>
          <w:szCs w:val="28"/>
        </w:rPr>
        <w:t>2013年，我国首部民间融资地方性法规《温州民间融资管理条例》出台。 2014年，山东出台全国第一个省级层面的民间融资机构监管办法。2015年末，银监会发布《网络借贷信息中介机构业务活动管理暂行办法(征求意见稿)》，目前正在向社会公开征求意见。 “上述法规及办法，仅对部分地方行政区域或网贷行业的民间融资行为进行监督管理。 ”胡大明指出，在国家层面，缺少专门的民间融资法，民间融资的法律地位仍不明确，与非法集资界限模糊。</w:t>
      </w:r>
    </w:p>
    <w:p>
      <w:pPr>
        <w:spacing w:line="480" w:lineRule="exact"/>
        <w:rPr>
          <w:rFonts w:asciiTheme="minorEastAsia" w:hAnsiTheme="minorEastAsia"/>
          <w:sz w:val="28"/>
          <w:szCs w:val="28"/>
        </w:rPr>
      </w:pPr>
      <w:r>
        <w:rPr>
          <w:rFonts w:hint="eastAsia" w:asciiTheme="minorEastAsia" w:hAnsiTheme="minorEastAsia"/>
          <w:sz w:val="28"/>
          <w:szCs w:val="28"/>
        </w:rPr>
        <w:t>　　“由于法律法规不健全，民间融资长期游离于金融监管之外。 ”胡大明说，防范和处置非法集资工作往往由各地政府金融工作办公室牵头负责，但金融办仅能对小额贷款公司和融资担保公司实施有效监管，对工商部门直接受理登记注册的投资咨询公司、借贷中介公司，以及商务部门审批的典当公司、融资租赁公司等，底细不清、查处无权、监管乏力。</w:t>
      </w:r>
    </w:p>
    <w:p>
      <w:pPr>
        <w:spacing w:line="480" w:lineRule="exact"/>
        <w:ind w:firstLine="570"/>
        <w:rPr>
          <w:rFonts w:asciiTheme="minorEastAsia" w:hAnsiTheme="minorEastAsia"/>
          <w:sz w:val="28"/>
          <w:szCs w:val="28"/>
        </w:rPr>
      </w:pPr>
      <w:r>
        <w:rPr>
          <w:rFonts w:hint="eastAsia" w:asciiTheme="minorEastAsia" w:hAnsiTheme="minorEastAsia"/>
          <w:sz w:val="28"/>
          <w:szCs w:val="28"/>
        </w:rPr>
        <w:t>胡大明建议尽快制定符合我国国情的民间融资管理法，将民间融资纳入法治化轨道，实现规范、有益、风险可控的管理目标。要明确界定民间融资和非法集资的界限，鼓励和保护正常的民间融资行为。降低民间融资机构准入门槛，加强事中、事后监管，引导民间融资阳光化运作，实行机构管理和行为管理两手抓，切实防范风险。明确和充实地方政府金融办职能和监管力量，切实解决民间融资多头管理、前瞻不足、效率不高的困局。</w:t>
      </w:r>
    </w:p>
    <w:p>
      <w:pPr>
        <w:rPr>
          <w:b/>
        </w:rPr>
      </w:pPr>
    </w:p>
    <w:p>
      <w:pPr>
        <w:rPr>
          <w:b/>
        </w:rPr>
      </w:pPr>
      <w:r>
        <w:rPr>
          <w:rFonts w:hint="eastAsia"/>
          <w:b/>
        </w:rPr>
        <w:t>转自：新华网、光明网</w:t>
      </w:r>
    </w:p>
    <w:p>
      <w:pPr>
        <w:pStyle w:val="3"/>
        <w:jc w:val="center"/>
      </w:pPr>
      <w:bookmarkStart w:id="193" w:name="_Toc446322507"/>
      <w:bookmarkStart w:id="194" w:name="_Toc446326779"/>
      <w:bookmarkStart w:id="195" w:name="_Toc446330751"/>
      <w:bookmarkStart w:id="196" w:name="_Toc446330648"/>
      <w:bookmarkStart w:id="197" w:name="_Toc446324710"/>
      <w:r>
        <w:rPr>
          <w:rFonts w:hint="eastAsia"/>
        </w:rPr>
        <w:t>两会早知道：鼓励租车缓解交通拥堵</w:t>
      </w:r>
      <w:bookmarkEnd w:id="193"/>
      <w:bookmarkEnd w:id="194"/>
      <w:bookmarkEnd w:id="195"/>
      <w:bookmarkEnd w:id="196"/>
      <w:bookmarkEnd w:id="197"/>
    </w:p>
    <w:p>
      <w:pPr>
        <w:spacing w:line="360" w:lineRule="auto"/>
        <w:ind w:firstLine="560" w:firstLineChars="200"/>
        <w:rPr>
          <w:rFonts w:asciiTheme="minorEastAsia" w:hAnsiTheme="minorEastAsia"/>
          <w:sz w:val="28"/>
          <w:szCs w:val="28"/>
        </w:rPr>
      </w:pPr>
      <w:r>
        <w:rPr>
          <w:rFonts w:asciiTheme="minorEastAsia" w:hAnsiTheme="minorEastAsia"/>
          <w:sz w:val="28"/>
          <w:szCs w:val="28"/>
        </w:rPr>
        <w:t>北京政协石向阳委员建议增加租车公司购车指标，用租车出行作为缓解交通拥堵的有力支撑。</w:t>
      </w:r>
    </w:p>
    <w:p>
      <w:pPr>
        <w:spacing w:line="360" w:lineRule="auto"/>
        <w:ind w:firstLine="560" w:firstLineChars="200"/>
        <w:rPr>
          <w:rFonts w:asciiTheme="minorEastAsia" w:hAnsiTheme="minorEastAsia"/>
          <w:sz w:val="28"/>
          <w:szCs w:val="28"/>
        </w:rPr>
      </w:pPr>
    </w:p>
    <w:p>
      <w:pPr>
        <w:spacing w:line="360" w:lineRule="auto"/>
        <w:ind w:firstLine="560" w:firstLineChars="200"/>
        <w:rPr>
          <w:rFonts w:asciiTheme="minorEastAsia" w:hAnsiTheme="minorEastAsia"/>
          <w:sz w:val="28"/>
          <w:szCs w:val="28"/>
        </w:rPr>
      </w:pPr>
      <w:r>
        <w:rPr>
          <w:rFonts w:asciiTheme="minorEastAsia" w:hAnsiTheme="minorEastAsia"/>
          <w:sz w:val="28"/>
          <w:szCs w:val="28"/>
        </w:rPr>
        <w:t>石向阳说，虽然汽车租赁被定位为公共交通属性，但实际上并没有给予公共交通的待遇。本市有4800个营运小客车指标无须摇号，根据综合排名向汽车租赁企业、驾校和出租车企业进行分配，其中汽车租赁企业可以获得3000个购车指标。“如果一平摊，这意味着各汽车租赁企业拿不到几个指标，这将严重制约本市汽车租赁业的发展。”</w:t>
      </w:r>
    </w:p>
    <w:p>
      <w:pPr>
        <w:spacing w:line="360" w:lineRule="auto"/>
        <w:ind w:firstLine="560" w:firstLineChars="200"/>
        <w:rPr>
          <w:rFonts w:asciiTheme="minorEastAsia" w:hAnsiTheme="minorEastAsia"/>
          <w:sz w:val="28"/>
          <w:szCs w:val="28"/>
        </w:rPr>
      </w:pPr>
    </w:p>
    <w:p>
      <w:pPr>
        <w:spacing w:line="360" w:lineRule="auto"/>
        <w:ind w:firstLine="560" w:firstLineChars="200"/>
        <w:rPr>
          <w:rFonts w:asciiTheme="minorEastAsia" w:hAnsiTheme="minorEastAsia"/>
          <w:sz w:val="28"/>
          <w:szCs w:val="28"/>
        </w:rPr>
      </w:pPr>
      <w:r>
        <w:rPr>
          <w:rFonts w:asciiTheme="minorEastAsia" w:hAnsiTheme="minorEastAsia"/>
          <w:sz w:val="28"/>
          <w:szCs w:val="28"/>
        </w:rPr>
        <w:t>石向阳认为，汽车租赁作为公共交通工具，可节省和优化资源，降低使用者成本，从一定程度上缓解交通拥堵。“如果一辆车可以解决数十个人的用车需求，就可以缓解城市交通拥堵、停车困难、摇号限购等问题，买不着车租车出行，这也是国际大都市普遍模式。”他觉得，大力发展汽车租赁业这一“购车替代方案”，一方面可以满足刚性交通需求，同时还能节省资源，缓解城市拥堵、解决车辆递增带来的“都市病”。</w:t>
      </w:r>
    </w:p>
    <w:p>
      <w:pPr>
        <w:spacing w:line="360" w:lineRule="auto"/>
        <w:ind w:firstLine="560" w:firstLineChars="200"/>
        <w:rPr>
          <w:rFonts w:asciiTheme="minorEastAsia" w:hAnsiTheme="minorEastAsia"/>
          <w:sz w:val="28"/>
          <w:szCs w:val="28"/>
        </w:rPr>
      </w:pPr>
    </w:p>
    <w:p>
      <w:pPr>
        <w:rPr>
          <w:b/>
        </w:rPr>
      </w:pPr>
      <w:r>
        <w:rPr>
          <w:b/>
        </w:rPr>
        <w:t>转自：信租传媒</w:t>
      </w:r>
    </w:p>
    <w:p>
      <w:pPr>
        <w:spacing w:line="360" w:lineRule="auto"/>
        <w:ind w:firstLine="560" w:firstLineChars="200"/>
        <w:rPr>
          <w:rFonts w:asciiTheme="minorEastAsia" w:hAnsiTheme="minorEastAsia"/>
          <w:sz w:val="28"/>
          <w:szCs w:val="28"/>
        </w:rPr>
      </w:pPr>
    </w:p>
    <w:p>
      <w:pPr>
        <w:spacing w:line="360" w:lineRule="auto"/>
        <w:ind w:firstLine="560" w:firstLineChars="200"/>
        <w:rPr>
          <w:rFonts w:asciiTheme="minorEastAsia" w:hAnsiTheme="minorEastAsia"/>
          <w:sz w:val="28"/>
          <w:szCs w:val="28"/>
        </w:rPr>
      </w:pPr>
    </w:p>
    <w:p>
      <w:pPr>
        <w:pStyle w:val="3"/>
        <w:jc w:val="center"/>
      </w:pPr>
      <w:bookmarkStart w:id="198" w:name="_Toc446330752"/>
      <w:bookmarkStart w:id="199" w:name="_Toc446324711"/>
      <w:bookmarkStart w:id="200" w:name="_Toc446322508"/>
      <w:bookmarkStart w:id="201" w:name="_Toc446326780"/>
      <w:bookmarkStart w:id="202" w:name="_Toc446330649"/>
      <w:r>
        <w:rPr>
          <w:rFonts w:hint="eastAsia"/>
        </w:rPr>
        <w:t>个税改革方案已完成:以家庭征缴 教育费用纳入抵扣</w:t>
      </w:r>
      <w:bookmarkEnd w:id="198"/>
      <w:bookmarkEnd w:id="199"/>
      <w:bookmarkEnd w:id="200"/>
      <w:bookmarkEnd w:id="201"/>
      <w:bookmarkEnd w:id="202"/>
    </w:p>
    <w:p>
      <w:pPr/>
    </w:p>
    <w:p>
      <w:pPr>
        <w:spacing w:line="430" w:lineRule="exact"/>
        <w:ind w:firstLine="560" w:firstLineChars="200"/>
        <w:rPr>
          <w:rFonts w:asciiTheme="minorEastAsia" w:hAnsiTheme="minorEastAsia"/>
          <w:color w:val="3E3E3E"/>
          <w:sz w:val="28"/>
          <w:szCs w:val="28"/>
        </w:rPr>
      </w:pPr>
      <w:r>
        <w:rPr>
          <w:rFonts w:hint="eastAsia" w:asciiTheme="minorEastAsia" w:hAnsiTheme="minorEastAsia"/>
          <w:sz w:val="28"/>
          <w:szCs w:val="28"/>
        </w:rPr>
        <w:t>个税改革正式进入攻坚阶段。以单位代扣代缴为主体的个税，逐渐向通过抵扣、自我申报的方向走去。</w:t>
      </w:r>
    </w:p>
    <w:p>
      <w:pPr>
        <w:spacing w:line="430" w:lineRule="exact"/>
        <w:ind w:firstLine="560" w:firstLineChars="200"/>
        <w:rPr>
          <w:rFonts w:asciiTheme="minorEastAsia" w:hAnsiTheme="minorEastAsia"/>
          <w:color w:val="3E3E3E"/>
          <w:sz w:val="28"/>
          <w:szCs w:val="28"/>
        </w:rPr>
      </w:pPr>
      <w:r>
        <w:rPr>
          <w:rFonts w:hint="eastAsia" w:asciiTheme="minorEastAsia" w:hAnsiTheme="minorEastAsia"/>
          <w:sz w:val="28"/>
          <w:szCs w:val="28"/>
        </w:rPr>
        <w:t>《华夏时报》记者了解到，以综合与分类相结合为目标的个人所得税改革正在大力推进中，其基本思路已经敲定，长期来看将分四步走，包括合并部分税目、完善税前扣除、适时引入家庭支出申报制度、优化税率结构等。目前，税前抵扣正在加紧研究中。在酌情调整基本减除费用标准的基础上，先将部分劳动所得合并为综合所得，将子女教育和职业教育纳入专项附加扣除，并加快建立和健全个人收入和财产信息系统。</w:t>
      </w:r>
    </w:p>
    <w:p>
      <w:pPr>
        <w:spacing w:line="430" w:lineRule="exact"/>
        <w:ind w:firstLine="560" w:firstLineChars="200"/>
        <w:rPr>
          <w:rFonts w:asciiTheme="minorEastAsia" w:hAnsiTheme="minorEastAsia"/>
          <w:color w:val="3E3E3E"/>
          <w:sz w:val="28"/>
          <w:szCs w:val="28"/>
        </w:rPr>
      </w:pPr>
      <w:r>
        <w:rPr>
          <w:rFonts w:hint="eastAsia" w:asciiTheme="minorEastAsia" w:hAnsiTheme="minorEastAsia"/>
          <w:sz w:val="28"/>
          <w:szCs w:val="28"/>
        </w:rPr>
        <w:t>“个税改革30年，综合与分类相结合也提了20年，进展一直很缓慢，相关配套也没有完善，比如银行信息等很多方面都有欠缺，需要做的工作还有很多。”业内人士告诉《华夏时报》记者。实行分类与综合相结合的个税计征需要建立完善的个人信息平台，真正实行恐怕需要3到5年时间。而这些工作又都是税改的前提和基础。</w:t>
      </w:r>
    </w:p>
    <w:p>
      <w:pPr>
        <w:spacing w:line="430" w:lineRule="exact"/>
        <w:ind w:firstLine="560" w:firstLineChars="200"/>
        <w:rPr>
          <w:rFonts w:asciiTheme="minorEastAsia" w:hAnsiTheme="minorEastAsia"/>
          <w:color w:val="3E3E3E"/>
          <w:sz w:val="28"/>
          <w:szCs w:val="28"/>
        </w:rPr>
      </w:pPr>
      <w:r>
        <w:rPr>
          <w:rFonts w:hint="eastAsia" w:asciiTheme="minorEastAsia" w:hAnsiTheme="minorEastAsia"/>
          <w:sz w:val="28"/>
          <w:szCs w:val="28"/>
        </w:rPr>
        <w:t>不过，个税改革方案在财政部内部已经完成，方向也早就在中央文件中规定了，随着上报时间的日益临近，改革也正式进入倒计时。</w:t>
      </w:r>
    </w:p>
    <w:p>
      <w:pPr>
        <w:spacing w:line="430" w:lineRule="exact"/>
        <w:ind w:firstLine="562" w:firstLineChars="200"/>
        <w:rPr>
          <w:rFonts w:asciiTheme="minorEastAsia" w:hAnsiTheme="minorEastAsia"/>
          <w:color w:val="3E3E3E"/>
          <w:sz w:val="28"/>
          <w:szCs w:val="28"/>
        </w:rPr>
      </w:pPr>
      <w:r>
        <w:rPr>
          <w:rStyle w:val="14"/>
          <w:rFonts w:hint="eastAsia" w:asciiTheme="minorEastAsia" w:hAnsiTheme="minorEastAsia"/>
          <w:color w:val="333333"/>
          <w:sz w:val="28"/>
          <w:szCs w:val="28"/>
        </w:rPr>
        <w:t>综合与分类相结合</w:t>
      </w:r>
    </w:p>
    <w:p>
      <w:pPr>
        <w:spacing w:line="430" w:lineRule="exact"/>
        <w:ind w:firstLine="560" w:firstLineChars="200"/>
        <w:rPr>
          <w:rFonts w:asciiTheme="minorEastAsia" w:hAnsiTheme="minorEastAsia"/>
          <w:color w:val="3E3E3E"/>
          <w:sz w:val="28"/>
          <w:szCs w:val="28"/>
        </w:rPr>
      </w:pPr>
      <w:r>
        <w:rPr>
          <w:rFonts w:hint="eastAsia" w:asciiTheme="minorEastAsia" w:hAnsiTheme="minorEastAsia"/>
          <w:sz w:val="28"/>
          <w:szCs w:val="28"/>
        </w:rPr>
        <w:t>方案已经完成，何时落地在于改革的决心。</w:t>
      </w:r>
    </w:p>
    <w:p>
      <w:pPr>
        <w:spacing w:line="430" w:lineRule="exact"/>
        <w:ind w:firstLine="560" w:firstLineChars="200"/>
        <w:rPr>
          <w:rFonts w:asciiTheme="minorEastAsia" w:hAnsiTheme="minorEastAsia"/>
          <w:color w:val="3E3E3E"/>
          <w:sz w:val="28"/>
          <w:szCs w:val="28"/>
        </w:rPr>
      </w:pPr>
      <w:r>
        <w:rPr>
          <w:rFonts w:hint="eastAsia" w:asciiTheme="minorEastAsia" w:hAnsiTheme="minorEastAsia"/>
          <w:sz w:val="28"/>
          <w:szCs w:val="28"/>
        </w:rPr>
        <w:t>《华夏时报》记者了解到，个税改革方案已经完成，预计最快2016年上半年上报，下半年会选择部分方案实施。</w:t>
      </w:r>
    </w:p>
    <w:p>
      <w:pPr>
        <w:spacing w:line="430" w:lineRule="exact"/>
        <w:ind w:firstLine="560" w:firstLineChars="200"/>
        <w:rPr>
          <w:rFonts w:asciiTheme="minorEastAsia" w:hAnsiTheme="minorEastAsia"/>
          <w:color w:val="3E3E3E"/>
          <w:sz w:val="28"/>
          <w:szCs w:val="28"/>
        </w:rPr>
      </w:pPr>
      <w:r>
        <w:rPr>
          <w:rFonts w:hint="eastAsia" w:asciiTheme="minorEastAsia" w:hAnsiTheme="minorEastAsia"/>
          <w:sz w:val="28"/>
          <w:szCs w:val="28"/>
        </w:rPr>
        <w:t>“个税改革的方向很明确，就是分类和综合相结合，尽管综合个税制度还需要很多配套，涉及信息管理制度的完善等难点，但这些问题并不是不能解决的，随着改革的推进，个税的技术条件将得到保障。”中国社科院财经战略研究院研究员张斌表示。</w:t>
      </w:r>
    </w:p>
    <w:p>
      <w:pPr>
        <w:spacing w:line="430" w:lineRule="exact"/>
        <w:ind w:firstLine="560" w:firstLineChars="200"/>
        <w:rPr>
          <w:rFonts w:asciiTheme="minorEastAsia" w:hAnsiTheme="minorEastAsia"/>
          <w:color w:val="3E3E3E"/>
          <w:sz w:val="28"/>
          <w:szCs w:val="28"/>
        </w:rPr>
      </w:pPr>
      <w:r>
        <w:rPr>
          <w:rFonts w:hint="eastAsia" w:asciiTheme="minorEastAsia" w:hAnsiTheme="minorEastAsia"/>
          <w:sz w:val="28"/>
          <w:szCs w:val="28"/>
        </w:rPr>
        <w:t>据了解，我国现行的个税制度是一种分类个人所得税制，即对纳税人的各项收入进行分类，采取“分别征收、各个清缴”的征管方式取得个税收入。这种个税制度一方面在客观上造成了收入来源单一的工薪阶层缴税较多，而收入来源多元化的高收入阶层缴税较少的问题。另一方面对个税的所有纳税人实行“一刀切”，而不考虑纳税人家庭负担的轻重、家庭支出的多少。同时，对个税扣除标准缺乏动态管理，没有与物价指数、平均工资水平的上升实行挂钩。</w:t>
      </w:r>
    </w:p>
    <w:p>
      <w:pPr>
        <w:spacing w:line="430" w:lineRule="exact"/>
        <w:ind w:firstLine="560" w:firstLineChars="200"/>
        <w:rPr>
          <w:rFonts w:asciiTheme="minorEastAsia" w:hAnsiTheme="minorEastAsia"/>
          <w:color w:val="3E3E3E"/>
          <w:sz w:val="28"/>
          <w:szCs w:val="28"/>
        </w:rPr>
      </w:pPr>
      <w:r>
        <w:rPr>
          <w:rFonts w:hint="eastAsia" w:asciiTheme="minorEastAsia" w:hAnsiTheme="minorEastAsia"/>
          <w:sz w:val="28"/>
          <w:szCs w:val="28"/>
        </w:rPr>
        <w:t>而在一些个税制度比较成熟的国家，一般采取的是综合与分类相结合的个人所得税制，除了对个人不同收入来源采取相应的分类外，还采用综合个人所得税制，将其全年的收入纳入计税范围。</w:t>
      </w:r>
    </w:p>
    <w:p>
      <w:pPr>
        <w:spacing w:line="430" w:lineRule="exact"/>
        <w:ind w:firstLine="560" w:firstLineChars="200"/>
        <w:rPr>
          <w:rFonts w:asciiTheme="minorEastAsia" w:hAnsiTheme="minorEastAsia"/>
          <w:color w:val="3E3E3E"/>
          <w:sz w:val="28"/>
          <w:szCs w:val="28"/>
        </w:rPr>
      </w:pPr>
      <w:r>
        <w:rPr>
          <w:rFonts w:hint="eastAsia" w:asciiTheme="minorEastAsia" w:hAnsiTheme="minorEastAsia"/>
          <w:sz w:val="28"/>
          <w:szCs w:val="28"/>
        </w:rPr>
        <w:t>“个人所得税综合税制从2007年以来已经做了铺垫，比如说年收入12万元是要做综合申报。综合各方面的情况看，2020年之前个人所得税综合税一定会成为现实，只是说综合范围有多大，仅仅从工薪所得扩展到劳务所得，把所有的收入纳入综合所得，这有一点回旋余地，但是开征，由分类转向综合是可以实施的。”中国社会科学院财经战略研究院院长高培勇表示。</w:t>
      </w:r>
    </w:p>
    <w:p>
      <w:pPr>
        <w:spacing w:line="430" w:lineRule="exact"/>
        <w:ind w:firstLine="562" w:firstLineChars="200"/>
        <w:rPr>
          <w:rFonts w:asciiTheme="minorEastAsia" w:hAnsiTheme="minorEastAsia"/>
          <w:color w:val="3E3E3E"/>
          <w:sz w:val="28"/>
          <w:szCs w:val="28"/>
        </w:rPr>
      </w:pPr>
      <w:r>
        <w:rPr>
          <w:rStyle w:val="14"/>
          <w:rFonts w:hint="eastAsia" w:asciiTheme="minorEastAsia" w:hAnsiTheme="minorEastAsia"/>
          <w:color w:val="333333"/>
          <w:sz w:val="28"/>
          <w:szCs w:val="28"/>
          <w:shd w:val="clear" w:color="auto" w:fill="FFFFFF"/>
        </w:rPr>
        <w:t>以家庭征缴</w:t>
      </w:r>
    </w:p>
    <w:p>
      <w:pPr>
        <w:spacing w:line="430" w:lineRule="exact"/>
        <w:ind w:firstLine="560" w:firstLineChars="200"/>
        <w:rPr>
          <w:rFonts w:asciiTheme="minorEastAsia" w:hAnsiTheme="minorEastAsia"/>
          <w:color w:val="3E3E3E"/>
          <w:sz w:val="28"/>
          <w:szCs w:val="28"/>
        </w:rPr>
      </w:pPr>
      <w:r>
        <w:rPr>
          <w:rFonts w:hint="eastAsia" w:asciiTheme="minorEastAsia" w:hAnsiTheme="minorEastAsia"/>
          <w:sz w:val="28"/>
          <w:szCs w:val="28"/>
          <w:shd w:val="clear" w:color="auto" w:fill="FFFFFF"/>
        </w:rPr>
        <w:t>此次个税改革的第一步就是合并部分税目，是将工薪所得、劳务报酬、稿酬等经常性、连续性劳动所得等，合并为“综合所得”；其他财产性所得以及临时性、偶然性所得仍作为“分类所得”。这同时为税前扣除做出了铺垫。</w:t>
      </w:r>
    </w:p>
    <w:p>
      <w:pPr>
        <w:spacing w:line="430" w:lineRule="exact"/>
        <w:ind w:firstLine="560" w:firstLineChars="200"/>
        <w:rPr>
          <w:rFonts w:asciiTheme="minorEastAsia" w:hAnsiTheme="minorEastAsia"/>
          <w:color w:val="3E3E3E"/>
          <w:sz w:val="28"/>
          <w:szCs w:val="28"/>
        </w:rPr>
      </w:pPr>
      <w:r>
        <w:rPr>
          <w:rFonts w:hint="eastAsia" w:asciiTheme="minorEastAsia" w:hAnsiTheme="minorEastAsia"/>
          <w:sz w:val="28"/>
          <w:szCs w:val="28"/>
          <w:shd w:val="clear" w:color="auto" w:fill="FFFFFF"/>
        </w:rPr>
        <w:t>就一般规律来说，纳入综合的种类越多，调节收入分配就越有力度，但同时征管运行成本也会越高。就中国此次改革而言，工资、薪金所得，劳务报酬所得，财产转让所得，承包经营、承包承租经营所得都有可能纳入综合征收范围。</w:t>
      </w:r>
    </w:p>
    <w:p>
      <w:pPr>
        <w:spacing w:line="430" w:lineRule="exact"/>
        <w:ind w:firstLine="560" w:firstLineChars="200"/>
        <w:rPr>
          <w:rFonts w:asciiTheme="minorEastAsia" w:hAnsiTheme="minorEastAsia"/>
          <w:color w:val="3E3E3E"/>
          <w:sz w:val="28"/>
          <w:szCs w:val="28"/>
        </w:rPr>
      </w:pPr>
      <w:r>
        <w:rPr>
          <w:rFonts w:hint="eastAsia" w:asciiTheme="minorEastAsia" w:hAnsiTheme="minorEastAsia"/>
          <w:sz w:val="28"/>
          <w:szCs w:val="28"/>
          <w:shd w:val="clear" w:color="auto" w:fill="FFFFFF"/>
        </w:rPr>
        <w:t>“公司经营者，其所得税计算，要扣除掉日常的费用开支、固定资产的折旧，而务工人员要开展工作，一样会有各种损耗等‘成本’，但它却被算作纯收入用于计税。”浙江省政协委员宗馥莉说，这些“成本”实际上应该扣除后计算。</w:t>
      </w:r>
    </w:p>
    <w:p>
      <w:pPr>
        <w:spacing w:line="430" w:lineRule="exact"/>
        <w:ind w:firstLine="560" w:firstLineChars="200"/>
        <w:rPr>
          <w:rFonts w:asciiTheme="minorEastAsia" w:hAnsiTheme="minorEastAsia"/>
          <w:color w:val="3E3E3E"/>
          <w:sz w:val="28"/>
          <w:szCs w:val="28"/>
        </w:rPr>
      </w:pPr>
      <w:r>
        <w:rPr>
          <w:rFonts w:hint="eastAsia" w:asciiTheme="minorEastAsia" w:hAnsiTheme="minorEastAsia"/>
          <w:sz w:val="28"/>
          <w:szCs w:val="28"/>
          <w:shd w:val="clear" w:color="auto" w:fill="FFFFFF"/>
        </w:rPr>
        <w:t>目前针对某些特殊领域，中国的个税改革已在进行有益的尝试。去年5月，财政部发布通知称，对试点地区个人购买符合规定的商业健康保险产品的支出，允许在当年(月)计算应纳税所得额时予以税前扣除，扣除限额为2400元/年。上海财经大学公共经济与管理学院税收系主任朱为群表示，将子女教育及职业教育纳入专项抵税这是国外的大趋势。按照国外经验来看，一般规定是家庭有一个孩子或两个孩子，个人所得税扣除的定额是不一样的。同时职业教育，比如参加考试的考试费、培训费等，也在个税里确定了一个扣除额。</w:t>
      </w:r>
    </w:p>
    <w:p>
      <w:pPr>
        <w:spacing w:line="430" w:lineRule="exact"/>
        <w:ind w:firstLine="560" w:firstLineChars="200"/>
        <w:rPr>
          <w:rFonts w:asciiTheme="minorEastAsia" w:hAnsiTheme="minorEastAsia"/>
          <w:color w:val="3E3E3E"/>
          <w:sz w:val="28"/>
          <w:szCs w:val="28"/>
        </w:rPr>
      </w:pPr>
      <w:r>
        <w:rPr>
          <w:rFonts w:hint="eastAsia" w:asciiTheme="minorEastAsia" w:hAnsiTheme="minorEastAsia"/>
          <w:sz w:val="28"/>
          <w:szCs w:val="28"/>
          <w:shd w:val="clear" w:color="auto" w:fill="FFFFFF"/>
        </w:rPr>
        <w:t>2012年3月，一份由国家发改委起草的报告就郑重提出了以家庭为个税征收主体，个人所得税按照综合征收，以此降低赋税。实际上，以家庭为个税征收主体的制度，按照劳务性收入、财产性收入和偶然所得进行分类征税，不仅比抬高免征额更趋合理，也能让中产阶层利用税收扣除优惠政策来实现合理避税。比如适时引入家庭支出申报制度，即在保持以个人为纳税单位的基础上，进一步允许夫妻联合申报家庭赡养老人、子女教育、住房按揭贷款利息等相关支出，并在夫妻之间分摊扣除或由一方扣除，夫妻双方分别纳税。</w:t>
      </w:r>
    </w:p>
    <w:p>
      <w:pPr>
        <w:spacing w:line="430" w:lineRule="exact"/>
        <w:ind w:firstLine="560" w:firstLineChars="200"/>
        <w:rPr>
          <w:rFonts w:asciiTheme="minorEastAsia" w:hAnsiTheme="minorEastAsia"/>
          <w:color w:val="3E3E3E"/>
          <w:sz w:val="28"/>
          <w:szCs w:val="28"/>
        </w:rPr>
      </w:pPr>
      <w:r>
        <w:rPr>
          <w:rFonts w:hint="eastAsia" w:asciiTheme="minorEastAsia" w:hAnsiTheme="minorEastAsia"/>
          <w:sz w:val="28"/>
          <w:szCs w:val="28"/>
          <w:shd w:val="clear" w:color="auto" w:fill="FFFFFF"/>
        </w:rPr>
        <w:t>最后则是优化税率结构，即以现行个人所得税法规定的税率结构为基础，适度调整边际税率，合理确定综合所得适用税率。</w:t>
      </w:r>
    </w:p>
    <w:p>
      <w:pPr>
        <w:spacing w:line="430" w:lineRule="exact"/>
        <w:ind w:firstLine="562" w:firstLineChars="200"/>
        <w:rPr>
          <w:rFonts w:asciiTheme="minorEastAsia" w:hAnsiTheme="minorEastAsia"/>
          <w:color w:val="3E3E3E"/>
          <w:sz w:val="28"/>
          <w:szCs w:val="28"/>
        </w:rPr>
      </w:pPr>
      <w:r>
        <w:rPr>
          <w:rStyle w:val="14"/>
          <w:rFonts w:hint="eastAsia" w:asciiTheme="minorEastAsia" w:hAnsiTheme="minorEastAsia"/>
          <w:color w:val="333333"/>
          <w:sz w:val="28"/>
          <w:szCs w:val="28"/>
          <w:shd w:val="clear" w:color="auto" w:fill="FFFFFF"/>
        </w:rPr>
        <w:t>建立信息系统</w:t>
      </w:r>
    </w:p>
    <w:p>
      <w:pPr>
        <w:spacing w:line="430" w:lineRule="exact"/>
        <w:ind w:firstLine="560" w:firstLineChars="200"/>
        <w:rPr>
          <w:rFonts w:asciiTheme="minorEastAsia" w:hAnsiTheme="minorEastAsia"/>
          <w:color w:val="3E3E3E"/>
          <w:sz w:val="28"/>
          <w:szCs w:val="28"/>
        </w:rPr>
      </w:pPr>
      <w:r>
        <w:rPr>
          <w:rFonts w:hint="eastAsia" w:asciiTheme="minorEastAsia" w:hAnsiTheme="minorEastAsia"/>
          <w:sz w:val="28"/>
          <w:szCs w:val="28"/>
          <w:shd w:val="clear" w:color="auto" w:fill="FFFFFF"/>
        </w:rPr>
        <w:t>不过，在抵扣措施之前，更重要的配套措施还待完善。</w:t>
      </w:r>
    </w:p>
    <w:p>
      <w:pPr>
        <w:spacing w:line="430" w:lineRule="exact"/>
        <w:ind w:firstLine="560" w:firstLineChars="200"/>
        <w:rPr>
          <w:rFonts w:asciiTheme="minorEastAsia" w:hAnsiTheme="minorEastAsia"/>
          <w:color w:val="3E3E3E"/>
          <w:sz w:val="28"/>
          <w:szCs w:val="28"/>
        </w:rPr>
      </w:pPr>
      <w:r>
        <w:rPr>
          <w:rFonts w:hint="eastAsia" w:asciiTheme="minorEastAsia" w:hAnsiTheme="minorEastAsia"/>
          <w:sz w:val="28"/>
          <w:szCs w:val="28"/>
          <w:shd w:val="clear" w:color="auto" w:fill="FFFFFF"/>
        </w:rPr>
        <w:t>“从合并税目到费用扣除，从家庭申报再到税率调整，其实是一环扣一环、连续性的。”朱为群表示。</w:t>
      </w:r>
    </w:p>
    <w:p>
      <w:pPr>
        <w:spacing w:line="430" w:lineRule="exact"/>
        <w:ind w:firstLine="560" w:firstLineChars="200"/>
        <w:rPr>
          <w:rFonts w:asciiTheme="minorEastAsia" w:hAnsiTheme="minorEastAsia"/>
          <w:color w:val="3E3E3E"/>
          <w:sz w:val="28"/>
          <w:szCs w:val="28"/>
        </w:rPr>
      </w:pPr>
      <w:r>
        <w:rPr>
          <w:rFonts w:hint="eastAsia" w:asciiTheme="minorEastAsia" w:hAnsiTheme="minorEastAsia"/>
          <w:sz w:val="28"/>
          <w:szCs w:val="28"/>
          <w:shd w:val="clear" w:color="auto" w:fill="FFFFFF"/>
        </w:rPr>
        <w:t>尽管之前在实施个人年收入12万元以上须自行申报的政策时，相关部门已经进行了不少信息采集工作，但仍有很多方面都有欠缺，比如银行信息等。</w:t>
      </w:r>
    </w:p>
    <w:p>
      <w:pPr>
        <w:spacing w:line="430" w:lineRule="exact"/>
        <w:ind w:firstLine="560" w:firstLineChars="200"/>
        <w:rPr>
          <w:rFonts w:asciiTheme="minorEastAsia" w:hAnsiTheme="minorEastAsia"/>
          <w:color w:val="3E3E3E"/>
          <w:sz w:val="28"/>
          <w:szCs w:val="28"/>
        </w:rPr>
      </w:pPr>
      <w:r>
        <w:rPr>
          <w:rFonts w:hint="eastAsia" w:asciiTheme="minorEastAsia" w:hAnsiTheme="minorEastAsia"/>
          <w:sz w:val="28"/>
          <w:szCs w:val="28"/>
          <w:shd w:val="clear" w:color="auto" w:fill="FFFFFF"/>
        </w:rPr>
        <w:t>新税制的建立需要一套完善的制度支持来运作，对于个人所得税改革，个人收入流和支出项目、成本设定都是需要得到信息，才能去征税的。改革方案和征管措施需要相辅相成，制度完美、征管跟不上，制度就没法运行。</w:t>
      </w:r>
    </w:p>
    <w:p>
      <w:pPr>
        <w:spacing w:line="430" w:lineRule="exact"/>
        <w:ind w:firstLine="560" w:firstLineChars="200"/>
        <w:rPr>
          <w:rFonts w:asciiTheme="minorEastAsia" w:hAnsiTheme="minorEastAsia"/>
          <w:sz w:val="28"/>
          <w:szCs w:val="28"/>
          <w:shd w:val="clear" w:color="auto" w:fill="FFFFFF"/>
        </w:rPr>
      </w:pPr>
      <w:r>
        <w:rPr>
          <w:rFonts w:hint="eastAsia" w:asciiTheme="minorEastAsia" w:hAnsiTheme="minorEastAsia"/>
          <w:sz w:val="28"/>
          <w:szCs w:val="28"/>
          <w:shd w:val="clear" w:color="auto" w:fill="FFFFFF"/>
        </w:rPr>
        <w:t>目前来看，个人收入和财产的范围比较大，具有多样性特点，纳入登记范围的只是一小部分。比如汽车、商品房以及职工的工薪收入等这些显性的，已经纳入登记范围，但其他很多隐性收入和财产并没有被纳入。财政部税政司所得税处早在2015年就已经开始着手个人收入和财产信息系统的建设工作，但推进的进度并不乐观。“财政部门对于个人收入和财产信息系统的建立是谨慎的，毕竟此前房产登记系统的推进例子在那儿摆着。”相关财税人士说。</w:t>
      </w:r>
    </w:p>
    <w:p>
      <w:pPr>
        <w:spacing w:line="430" w:lineRule="exact"/>
        <w:rPr>
          <w:b/>
        </w:rPr>
      </w:pPr>
      <w:r>
        <w:rPr>
          <w:rFonts w:hint="eastAsia"/>
          <w:b/>
        </w:rPr>
        <w:t>转自：华夏时报 记者：张智</w:t>
      </w:r>
    </w:p>
    <w:p>
      <w:pPr>
        <w:pStyle w:val="2"/>
        <w:rPr>
          <w:szCs w:val="32"/>
        </w:rPr>
      </w:pPr>
      <w:bookmarkStart w:id="203" w:name="_Toc446330650"/>
      <w:bookmarkStart w:id="204" w:name="_Toc446322509"/>
      <w:bookmarkStart w:id="205" w:name="_Toc446324712"/>
      <w:bookmarkStart w:id="206" w:name="_Toc446330753"/>
      <w:bookmarkStart w:id="207" w:name="_Toc446326781"/>
      <w:r>
        <w:rPr>
          <w:rFonts w:hint="eastAsia"/>
          <w:szCs w:val="32"/>
        </w:rPr>
        <w:t>观点探讨</w:t>
      </w:r>
      <w:bookmarkEnd w:id="203"/>
      <w:bookmarkEnd w:id="204"/>
      <w:bookmarkEnd w:id="205"/>
      <w:bookmarkEnd w:id="206"/>
      <w:bookmarkEnd w:id="207"/>
    </w:p>
    <w:p>
      <w:pPr>
        <w:pStyle w:val="3"/>
        <w:jc w:val="center"/>
      </w:pPr>
      <w:bookmarkStart w:id="208" w:name="_Toc446326782"/>
      <w:bookmarkStart w:id="209" w:name="_Toc446330651"/>
      <w:bookmarkStart w:id="210" w:name="_Toc446330754"/>
      <w:bookmarkStart w:id="211" w:name="_Toc446322510"/>
      <w:bookmarkStart w:id="212" w:name="_Toc446324713"/>
      <w:r>
        <w:rPr>
          <w:rFonts w:hint="eastAsia"/>
        </w:rPr>
        <w:t>雾霾经济之新能源车 聚光灯下的新赌局</w:t>
      </w:r>
      <w:bookmarkEnd w:id="208"/>
      <w:bookmarkEnd w:id="209"/>
      <w:bookmarkEnd w:id="210"/>
      <w:bookmarkEnd w:id="211"/>
      <w:bookmarkEnd w:id="212"/>
    </w:p>
    <w:p>
      <w:pPr/>
    </w:p>
    <w:p>
      <w:pPr>
        <w:widowControl/>
        <w:jc w:val="left"/>
        <w:rPr>
          <w:rFonts w:ascii="宋体" w:hAnsi="宋体" w:eastAsia="宋体" w:cs="宋体"/>
          <w:kern w:val="0"/>
          <w:sz w:val="24"/>
          <w:szCs w:val="24"/>
        </w:rPr>
      </w:pPr>
      <w:r>
        <w:rPr>
          <w:rFonts w:ascii="inherit" w:hAnsi="inherit" w:eastAsia="宋体" w:cs="宋体"/>
          <w:color w:val="FFFFFF"/>
          <w:kern w:val="0"/>
          <w:sz w:val="24"/>
          <w:szCs w:val="24"/>
        </w:rPr>
        <w:t>导读</w:t>
      </w:r>
      <w:r>
        <w:rPr>
          <w:rFonts w:ascii="宋体" w:hAnsi="宋体" w:eastAsia="宋体" w:cs="宋体"/>
          <w:kern w:val="0"/>
          <w:sz w:val="24"/>
          <w:szCs w:val="24"/>
        </w:rPr>
        <w:t> </w:t>
      </w:r>
      <w:r>
        <w:rPr>
          <w:rFonts w:ascii="inherit" w:hAnsi="inherit" w:eastAsia="宋体" w:cs="宋体"/>
          <w:color w:val="FFFFFF"/>
          <w:kern w:val="0"/>
          <w:sz w:val="24"/>
          <w:szCs w:val="24"/>
        </w:rPr>
        <w:t>棱镜</w:t>
      </w:r>
    </w:p>
    <w:p>
      <w:pPr>
        <w:spacing w:line="460" w:lineRule="exact"/>
        <w:ind w:firstLine="560" w:firstLineChars="200"/>
        <w:rPr>
          <w:rFonts w:asciiTheme="minorEastAsia" w:hAnsiTheme="minorEastAsia"/>
          <w:kern w:val="0"/>
          <w:sz w:val="28"/>
          <w:szCs w:val="28"/>
        </w:rPr>
      </w:pPr>
      <w:r>
        <w:rPr>
          <w:rFonts w:asciiTheme="minorEastAsia" w:hAnsiTheme="minorEastAsia"/>
          <w:kern w:val="0"/>
          <w:sz w:val="28"/>
          <w:szCs w:val="28"/>
        </w:rPr>
        <w:t>北京史上持续最长时间的限行政策一触即发。但这项最严格的限行政策却不适用于新能源车。对于、一直处于新能源车的狂欢盛宴的车企们来说，无疑又增加了砝码。政策的持续利好，让车企们在这场盛宴之中，赌注越下越大，但问题却从未离开。</w:t>
      </w:r>
    </w:p>
    <w:p>
      <w:pPr>
        <w:spacing w:line="460" w:lineRule="exact"/>
        <w:ind w:firstLine="560" w:firstLineChars="200"/>
        <w:rPr>
          <w:rFonts w:asciiTheme="minorEastAsia" w:hAnsiTheme="minorEastAsia"/>
          <w:kern w:val="0"/>
          <w:sz w:val="28"/>
          <w:szCs w:val="28"/>
        </w:rPr>
      </w:pPr>
    </w:p>
    <w:p>
      <w:pPr>
        <w:spacing w:line="460" w:lineRule="exact"/>
        <w:ind w:firstLine="562" w:firstLineChars="200"/>
        <w:rPr>
          <w:rFonts w:asciiTheme="minorEastAsia" w:hAnsiTheme="minorEastAsia"/>
          <w:color w:val="3E3E3E"/>
          <w:kern w:val="0"/>
          <w:sz w:val="28"/>
          <w:szCs w:val="28"/>
        </w:rPr>
      </w:pPr>
      <w:r>
        <w:rPr>
          <w:rFonts w:hint="eastAsia" w:asciiTheme="minorEastAsia" w:hAnsiTheme="minorEastAsia"/>
          <w:b/>
          <w:bCs/>
          <w:color w:val="4F81BD"/>
          <w:kern w:val="0"/>
          <w:sz w:val="28"/>
          <w:szCs w:val="28"/>
        </w:rPr>
        <w:t>腾讯财经 李宁 方子 冯军</w:t>
      </w:r>
    </w:p>
    <w:p>
      <w:pPr>
        <w:spacing w:line="460" w:lineRule="exact"/>
        <w:ind w:firstLine="560" w:firstLineChars="200"/>
        <w:rPr>
          <w:rFonts w:asciiTheme="minorEastAsia" w:hAnsiTheme="minorEastAsia"/>
          <w:color w:val="3E3E3E"/>
          <w:kern w:val="0"/>
          <w:sz w:val="28"/>
          <w:szCs w:val="28"/>
        </w:rPr>
      </w:pPr>
      <w:r>
        <w:rPr>
          <w:rFonts w:asciiTheme="minorEastAsia" w:hAnsiTheme="minorEastAsia"/>
          <w:color w:val="3E3E3E"/>
          <w:kern w:val="0"/>
          <w:sz w:val="28"/>
          <w:szCs w:val="28"/>
        </w:rPr>
        <w:t>“在空气质量爆表的情况下，是人的身体健康重要，还是开车重要？” 这是1月27日北京市人大代表、市长王安顺在海淀团、朝阳团参加审议抛出的问题。</w:t>
      </w:r>
    </w:p>
    <w:p>
      <w:pPr>
        <w:spacing w:line="460" w:lineRule="exact"/>
        <w:ind w:firstLine="560" w:firstLineChars="200"/>
        <w:rPr>
          <w:rFonts w:asciiTheme="minorEastAsia" w:hAnsiTheme="minorEastAsia"/>
          <w:color w:val="3E3E3E"/>
          <w:kern w:val="0"/>
          <w:sz w:val="28"/>
          <w:szCs w:val="28"/>
        </w:rPr>
      </w:pPr>
      <w:r>
        <w:rPr>
          <w:rFonts w:asciiTheme="minorEastAsia" w:hAnsiTheme="minorEastAsia"/>
          <w:color w:val="3E3E3E"/>
          <w:kern w:val="0"/>
          <w:sz w:val="28"/>
          <w:szCs w:val="28"/>
        </w:rPr>
        <w:t>谈及重污染天单双号限行的问题，王安顺说，在限行与雾霾之间，我们只能两弊相权取其轻。</w:t>
      </w:r>
    </w:p>
    <w:p>
      <w:pPr>
        <w:spacing w:line="460" w:lineRule="exact"/>
        <w:ind w:firstLine="560" w:firstLineChars="200"/>
        <w:rPr>
          <w:rFonts w:asciiTheme="minorEastAsia" w:hAnsiTheme="minorEastAsia"/>
          <w:color w:val="3E3E3E"/>
          <w:kern w:val="0"/>
          <w:sz w:val="28"/>
          <w:szCs w:val="28"/>
        </w:rPr>
      </w:pPr>
      <w:r>
        <w:rPr>
          <w:rFonts w:asciiTheme="minorEastAsia" w:hAnsiTheme="minorEastAsia"/>
          <w:color w:val="3E3E3E"/>
          <w:kern w:val="0"/>
          <w:sz w:val="28"/>
          <w:szCs w:val="28"/>
        </w:rPr>
        <w:t>其实早在今年1月初，北京市委市政府就已在研究于供暖期间，全面实施机动车单双号限行政策的可行性。</w:t>
      </w:r>
    </w:p>
    <w:p>
      <w:pPr>
        <w:spacing w:line="460" w:lineRule="exact"/>
        <w:ind w:firstLine="560" w:firstLineChars="200"/>
        <w:rPr>
          <w:rFonts w:asciiTheme="minorEastAsia" w:hAnsiTheme="minorEastAsia"/>
          <w:color w:val="3E3E3E"/>
          <w:kern w:val="0"/>
          <w:sz w:val="28"/>
          <w:szCs w:val="28"/>
        </w:rPr>
      </w:pPr>
      <w:r>
        <w:rPr>
          <w:rFonts w:asciiTheme="minorEastAsia" w:hAnsiTheme="minorEastAsia"/>
          <w:color w:val="3E3E3E"/>
          <w:kern w:val="0"/>
          <w:sz w:val="28"/>
          <w:szCs w:val="28"/>
        </w:rPr>
        <w:t>就在同一天，北京市科委双新处处长许心超在《汽车有形市场未来发展趋势论坛》上表示：对于中央提出的关于新能源汽车不限行、不限购、不缴税的“3不政策”，北京市均已落实。</w:t>
      </w:r>
    </w:p>
    <w:p>
      <w:pPr>
        <w:spacing w:line="460" w:lineRule="exact"/>
        <w:ind w:firstLine="560" w:firstLineChars="200"/>
        <w:rPr>
          <w:rFonts w:asciiTheme="minorEastAsia" w:hAnsiTheme="minorEastAsia"/>
          <w:color w:val="3E3E3E"/>
          <w:kern w:val="0"/>
          <w:sz w:val="28"/>
          <w:szCs w:val="28"/>
        </w:rPr>
      </w:pPr>
      <w:r>
        <w:rPr>
          <w:rFonts w:asciiTheme="minorEastAsia" w:hAnsiTheme="minorEastAsia"/>
          <w:color w:val="3E3E3E"/>
          <w:kern w:val="0"/>
          <w:sz w:val="28"/>
          <w:szCs w:val="28"/>
        </w:rPr>
        <w:t>北京史上持续最长时间的限行政策不适用于新能源，这让新能源车企业们又增加了前进的砝码。</w:t>
      </w:r>
    </w:p>
    <w:p>
      <w:pPr>
        <w:spacing w:line="460" w:lineRule="exact"/>
        <w:ind w:firstLine="560" w:firstLineChars="200"/>
        <w:rPr>
          <w:rFonts w:asciiTheme="minorEastAsia" w:hAnsiTheme="minorEastAsia"/>
          <w:color w:val="3E3E3E"/>
          <w:kern w:val="0"/>
          <w:sz w:val="28"/>
          <w:szCs w:val="28"/>
        </w:rPr>
      </w:pPr>
      <w:r>
        <w:rPr>
          <w:rFonts w:asciiTheme="minorEastAsia" w:hAnsiTheme="minorEastAsia"/>
          <w:color w:val="3E3E3E"/>
          <w:kern w:val="0"/>
          <w:sz w:val="28"/>
          <w:szCs w:val="28"/>
        </w:rPr>
        <w:t>事实也确实如此。新能源销售如今成为了消费者的宠儿。</w:t>
      </w:r>
    </w:p>
    <w:p>
      <w:pPr>
        <w:spacing w:line="460" w:lineRule="exact"/>
        <w:ind w:firstLine="560" w:firstLineChars="200"/>
        <w:rPr>
          <w:rFonts w:asciiTheme="minorEastAsia" w:hAnsiTheme="minorEastAsia"/>
          <w:color w:val="3E3E3E"/>
          <w:kern w:val="0"/>
          <w:sz w:val="28"/>
          <w:szCs w:val="28"/>
        </w:rPr>
      </w:pPr>
      <w:r>
        <w:rPr>
          <w:rFonts w:asciiTheme="minorEastAsia" w:hAnsiTheme="minorEastAsia"/>
          <w:color w:val="3E3E3E"/>
          <w:kern w:val="0"/>
          <w:sz w:val="28"/>
          <w:szCs w:val="28"/>
        </w:rPr>
        <w:t>在位于北京市海淀区五道口的北汽新能源汽车经销店内，腾讯财经《棱镜》见到了一位正在招待顾客的汽车销售顾问。在约半小时的沟通中，他的手机每5分钟就会响起一次。大多数的来电，是询问电动汽车车型和价格的。</w:t>
      </w:r>
    </w:p>
    <w:p>
      <w:pPr>
        <w:spacing w:line="360" w:lineRule="auto"/>
        <w:rPr>
          <w:rFonts w:asciiTheme="minorEastAsia" w:hAnsiTheme="minorEastAsia"/>
          <w:color w:val="3E3E3E"/>
          <w:kern w:val="0"/>
          <w:sz w:val="28"/>
          <w:szCs w:val="28"/>
        </w:rPr>
      </w:pPr>
      <w:r>
        <w:rPr>
          <w:rFonts w:asciiTheme="minorEastAsia" w:hAnsiTheme="minorEastAsia"/>
          <w:color w:val="3E3E3E"/>
          <w:kern w:val="0"/>
          <w:sz w:val="28"/>
          <w:szCs w:val="28"/>
        </w:rPr>
        <w:drawing>
          <wp:inline distT="0" distB="0" distL="0" distR="0">
            <wp:extent cx="5274310" cy="6139815"/>
            <wp:effectExtent l="19050" t="0" r="2540" b="0"/>
            <wp:docPr id="1" name="图片 0" descr="640.we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640.webp.jpg"/>
                    <pic:cNvPicPr>
                      <a:picLocks noChangeAspect="1"/>
                    </pic:cNvPicPr>
                  </pic:nvPicPr>
                  <pic:blipFill>
                    <a:blip r:embed="rId15"/>
                    <a:stretch>
                      <a:fillRect/>
                    </a:stretch>
                  </pic:blipFill>
                  <pic:spPr>
                    <a:xfrm>
                      <a:off x="0" y="0"/>
                      <a:ext cx="5274310" cy="6139815"/>
                    </a:xfrm>
                    <a:prstGeom prst="rect">
                      <a:avLst/>
                    </a:prstGeom>
                  </pic:spPr>
                </pic:pic>
              </a:graphicData>
            </a:graphic>
          </wp:inline>
        </w:drawing>
      </w:r>
    </w:p>
    <w:p>
      <w:pPr>
        <w:spacing w:line="560" w:lineRule="exact"/>
        <w:ind w:firstLine="560" w:firstLineChars="200"/>
        <w:rPr>
          <w:rFonts w:asciiTheme="minorEastAsia" w:hAnsiTheme="minorEastAsia"/>
          <w:color w:val="3E3E3E"/>
          <w:kern w:val="0"/>
          <w:sz w:val="28"/>
          <w:szCs w:val="28"/>
        </w:rPr>
      </w:pPr>
      <w:r>
        <w:rPr>
          <w:rFonts w:asciiTheme="minorEastAsia" w:hAnsiTheme="minorEastAsia"/>
          <w:color w:val="3E3E3E"/>
          <w:kern w:val="0"/>
          <w:sz w:val="28"/>
          <w:szCs w:val="28"/>
        </w:rPr>
        <w:t>正是看到新能源汽车的强劲需求，国内许多汽车制造商已经制定了速度惊人的战略目标，希望在这场盛宴中赌上一把。</w:t>
      </w:r>
    </w:p>
    <w:p>
      <w:pPr>
        <w:spacing w:line="560" w:lineRule="exact"/>
        <w:ind w:firstLine="562" w:firstLineChars="200"/>
        <w:rPr>
          <w:rFonts w:asciiTheme="minorEastAsia" w:hAnsiTheme="minorEastAsia"/>
          <w:color w:val="3E3E3E"/>
          <w:kern w:val="0"/>
          <w:sz w:val="28"/>
          <w:szCs w:val="28"/>
        </w:rPr>
      </w:pPr>
      <w:r>
        <w:rPr>
          <w:rFonts w:asciiTheme="minorEastAsia" w:hAnsiTheme="minorEastAsia"/>
          <w:b/>
          <w:bCs/>
          <w:color w:val="FF4C41"/>
          <w:kern w:val="0"/>
          <w:sz w:val="28"/>
          <w:szCs w:val="28"/>
        </w:rPr>
        <w:t>但是在这场盛宴之外，质疑声音不断：没有了补贴等政策刺激，新能源车本身性能和服务配套是否还能支撑如此高需求？随之而来的则是车企能否实现如此高额的增长目标？更让大家关注的是，在提倡大力发展的背景之下，新能源车是否真的节能环保？</w:t>
      </w:r>
    </w:p>
    <w:p>
      <w:pPr>
        <w:spacing w:line="560" w:lineRule="exact"/>
        <w:ind w:firstLine="560" w:firstLineChars="200"/>
        <w:rPr>
          <w:rFonts w:asciiTheme="minorEastAsia" w:hAnsiTheme="minorEastAsia"/>
          <w:color w:val="3E3E3E"/>
          <w:kern w:val="0"/>
          <w:sz w:val="28"/>
          <w:szCs w:val="28"/>
        </w:rPr>
      </w:pPr>
      <w:r>
        <w:rPr>
          <w:rFonts w:asciiTheme="minorEastAsia" w:hAnsiTheme="minorEastAsia"/>
          <w:color w:val="3E3E3E"/>
          <w:kern w:val="0"/>
          <w:sz w:val="28"/>
          <w:szCs w:val="28"/>
        </w:rPr>
        <w:t>“大干快上”的新能源车业，看上去很美，实则暗流涌动。</w:t>
      </w:r>
    </w:p>
    <w:p>
      <w:pPr>
        <w:spacing w:line="560" w:lineRule="exact"/>
        <w:ind w:firstLine="560" w:firstLineChars="200"/>
        <w:rPr>
          <w:rFonts w:asciiTheme="minorEastAsia" w:hAnsiTheme="minorEastAsia"/>
          <w:color w:val="3E3E3E"/>
          <w:kern w:val="0"/>
          <w:sz w:val="28"/>
          <w:szCs w:val="28"/>
        </w:rPr>
      </w:pPr>
    </w:p>
    <w:p>
      <w:pPr>
        <w:spacing w:line="560" w:lineRule="exact"/>
        <w:ind w:firstLine="562" w:firstLineChars="200"/>
        <w:rPr>
          <w:rFonts w:asciiTheme="minorEastAsia" w:hAnsiTheme="minorEastAsia"/>
          <w:color w:val="3E3E3E"/>
          <w:kern w:val="0"/>
          <w:sz w:val="28"/>
          <w:szCs w:val="28"/>
        </w:rPr>
      </w:pPr>
      <w:r>
        <w:rPr>
          <w:rFonts w:asciiTheme="minorEastAsia" w:hAnsiTheme="minorEastAsia"/>
          <w:b/>
          <w:bCs/>
          <w:color w:val="3DAAD6"/>
          <w:kern w:val="0"/>
          <w:sz w:val="28"/>
          <w:szCs w:val="28"/>
        </w:rPr>
        <w:t>政策利好、补贴诱发的狂欢</w:t>
      </w:r>
    </w:p>
    <w:p>
      <w:pPr>
        <w:spacing w:line="560" w:lineRule="exact"/>
        <w:ind w:firstLine="560" w:firstLineChars="200"/>
        <w:rPr>
          <w:rFonts w:asciiTheme="minorEastAsia" w:hAnsiTheme="minorEastAsia"/>
          <w:color w:val="3E3E3E"/>
          <w:kern w:val="0"/>
          <w:sz w:val="28"/>
          <w:szCs w:val="28"/>
        </w:rPr>
      </w:pPr>
      <w:r>
        <w:rPr>
          <w:rFonts w:asciiTheme="minorEastAsia" w:hAnsiTheme="minorEastAsia"/>
          <w:color w:val="3E3E3E"/>
          <w:kern w:val="0"/>
          <w:sz w:val="28"/>
          <w:szCs w:val="28"/>
        </w:rPr>
        <w:t>北京的私营企业主唐闻羽（音同）刚刚订购了一款特斯拉Model S汽车。与《棱镜》沟通时，唐闻羽表示，不限行和不限号，是他购买新能源汽车的主要原因。</w:t>
      </w:r>
    </w:p>
    <w:p>
      <w:pPr>
        <w:spacing w:line="560" w:lineRule="exact"/>
        <w:ind w:firstLine="560" w:firstLineChars="200"/>
        <w:rPr>
          <w:rFonts w:asciiTheme="minorEastAsia" w:hAnsiTheme="minorEastAsia"/>
          <w:color w:val="3E3E3E"/>
          <w:kern w:val="0"/>
          <w:sz w:val="28"/>
          <w:szCs w:val="28"/>
        </w:rPr>
      </w:pPr>
      <w:r>
        <w:rPr>
          <w:rFonts w:asciiTheme="minorEastAsia" w:hAnsiTheme="minorEastAsia"/>
          <w:color w:val="3E3E3E"/>
          <w:kern w:val="0"/>
          <w:sz w:val="28"/>
          <w:szCs w:val="28"/>
        </w:rPr>
        <w:t>35岁的王健在上海，是两个孩子的父亲，家里在去年年初为了小孩上学购买了学区房。资金并不宽裕他，在去年5月选择购买了一辆比亚迪的新能源车，除了不限号，补贴也是他考虑的一个重要原因。</w:t>
      </w:r>
    </w:p>
    <w:p>
      <w:pPr>
        <w:spacing w:line="560" w:lineRule="exact"/>
        <w:ind w:firstLine="560" w:firstLineChars="200"/>
        <w:rPr>
          <w:rFonts w:asciiTheme="minorEastAsia" w:hAnsiTheme="minorEastAsia"/>
          <w:color w:val="3E3E3E"/>
          <w:kern w:val="0"/>
          <w:sz w:val="28"/>
          <w:szCs w:val="28"/>
        </w:rPr>
      </w:pPr>
      <w:r>
        <w:rPr>
          <w:rFonts w:asciiTheme="minorEastAsia" w:hAnsiTheme="minorEastAsia"/>
          <w:color w:val="3E3E3E"/>
          <w:kern w:val="0"/>
          <w:sz w:val="28"/>
          <w:szCs w:val="28"/>
        </w:rPr>
        <w:t>“在上海买一台7、8万低档的车，再配上牌照费和税，超过了比亚迪的秦的价格。”王健对《棱镜》分析称，秦在新能源车中还是中档车，性价比来说秦肯定更合适。</w:t>
      </w:r>
    </w:p>
    <w:p>
      <w:pPr>
        <w:spacing w:line="560" w:lineRule="exact"/>
        <w:ind w:firstLine="560" w:firstLineChars="200"/>
        <w:rPr>
          <w:rFonts w:asciiTheme="minorEastAsia" w:hAnsiTheme="minorEastAsia"/>
          <w:color w:val="3E3E3E"/>
          <w:kern w:val="0"/>
          <w:sz w:val="28"/>
          <w:szCs w:val="28"/>
        </w:rPr>
      </w:pPr>
      <w:r>
        <w:rPr>
          <w:rFonts w:asciiTheme="minorEastAsia" w:hAnsiTheme="minorEastAsia"/>
          <w:color w:val="3E3E3E"/>
          <w:kern w:val="0"/>
          <w:sz w:val="28"/>
          <w:szCs w:val="28"/>
        </w:rPr>
        <w:t>对于北京、上海这样对传统汽车购买限制而对新能源车开设各种“绿灯”的城市来说，新能源汽车业切切实实变得炙手可热。</w:t>
      </w:r>
    </w:p>
    <w:p>
      <w:pPr>
        <w:spacing w:line="560" w:lineRule="exact"/>
        <w:ind w:firstLine="560" w:firstLineChars="200"/>
        <w:rPr>
          <w:rFonts w:asciiTheme="minorEastAsia" w:hAnsiTheme="minorEastAsia"/>
          <w:color w:val="3E3E3E"/>
          <w:kern w:val="0"/>
          <w:sz w:val="28"/>
          <w:szCs w:val="28"/>
        </w:rPr>
      </w:pPr>
      <w:r>
        <w:rPr>
          <w:rFonts w:asciiTheme="minorEastAsia" w:hAnsiTheme="minorEastAsia"/>
          <w:color w:val="3E3E3E"/>
          <w:kern w:val="0"/>
          <w:sz w:val="28"/>
          <w:szCs w:val="28"/>
        </w:rPr>
        <w:t>前述北汽新能源汽车销售顾问向《棱镜》称，“目前没有现车，提车需要等1-3月。”</w:t>
      </w:r>
    </w:p>
    <w:p>
      <w:pPr>
        <w:spacing w:line="560" w:lineRule="exact"/>
        <w:ind w:firstLine="560" w:firstLineChars="200"/>
        <w:rPr>
          <w:rFonts w:asciiTheme="minorEastAsia" w:hAnsiTheme="minorEastAsia"/>
          <w:color w:val="3E3E3E"/>
          <w:kern w:val="0"/>
          <w:sz w:val="28"/>
          <w:szCs w:val="28"/>
        </w:rPr>
      </w:pPr>
      <w:r>
        <w:rPr>
          <w:rFonts w:asciiTheme="minorEastAsia" w:hAnsiTheme="minorEastAsia"/>
          <w:color w:val="3E3E3E"/>
          <w:kern w:val="0"/>
          <w:sz w:val="28"/>
          <w:szCs w:val="28"/>
        </w:rPr>
        <w:t>王健购买“秦”时也是等了足足有3个月。</w:t>
      </w:r>
    </w:p>
    <w:p>
      <w:pPr>
        <w:spacing w:line="560" w:lineRule="exact"/>
        <w:ind w:firstLine="562" w:firstLineChars="200"/>
        <w:rPr>
          <w:rFonts w:asciiTheme="minorEastAsia" w:hAnsiTheme="minorEastAsia"/>
          <w:color w:val="3E3E3E"/>
          <w:kern w:val="0"/>
          <w:sz w:val="28"/>
          <w:szCs w:val="28"/>
        </w:rPr>
      </w:pPr>
      <w:r>
        <w:rPr>
          <w:rFonts w:asciiTheme="minorEastAsia" w:hAnsiTheme="minorEastAsia"/>
          <w:b/>
          <w:bCs/>
          <w:color w:val="FF4C41"/>
          <w:kern w:val="0"/>
          <w:sz w:val="28"/>
          <w:szCs w:val="28"/>
        </w:rPr>
        <w:t>事实上，国家和地方财政的资金补贴，以及“限行”、“限购”政策对新能源汽车所开的各种“绿灯”，促使一场新能源汽车“大跃进”正如火如荼展开。</w:t>
      </w:r>
    </w:p>
    <w:p>
      <w:pPr>
        <w:spacing w:line="560" w:lineRule="exact"/>
        <w:ind w:firstLine="562" w:firstLineChars="200"/>
        <w:rPr>
          <w:rFonts w:asciiTheme="minorEastAsia" w:hAnsiTheme="minorEastAsia"/>
          <w:color w:val="3E3E3E"/>
          <w:kern w:val="0"/>
          <w:sz w:val="28"/>
          <w:szCs w:val="28"/>
        </w:rPr>
      </w:pPr>
      <w:r>
        <w:rPr>
          <w:rFonts w:asciiTheme="minorEastAsia" w:hAnsiTheme="minorEastAsia"/>
          <w:b/>
          <w:bCs/>
          <w:color w:val="FF4C41"/>
          <w:kern w:val="0"/>
          <w:sz w:val="28"/>
          <w:szCs w:val="28"/>
        </w:rPr>
        <w:t>中国的新能源汽车市场在2015年实现了快速增长。当年，市场销量为33.11万辆，相比去年同比增长了340%。</w:t>
      </w:r>
    </w:p>
    <w:p>
      <w:pPr>
        <w:spacing w:line="560" w:lineRule="exact"/>
        <w:ind w:firstLine="560" w:firstLineChars="200"/>
        <w:rPr>
          <w:rFonts w:asciiTheme="minorEastAsia" w:hAnsiTheme="minorEastAsia"/>
          <w:color w:val="3E3E3E"/>
          <w:kern w:val="0"/>
          <w:sz w:val="28"/>
          <w:szCs w:val="28"/>
        </w:rPr>
      </w:pPr>
      <w:r>
        <w:rPr>
          <w:rFonts w:asciiTheme="minorEastAsia" w:hAnsiTheme="minorEastAsia"/>
          <w:color w:val="3E3E3E"/>
          <w:kern w:val="0"/>
          <w:sz w:val="28"/>
          <w:szCs w:val="28"/>
        </w:rPr>
        <w:t>新能源销量的高速增长，使得各家汽车制造企业纷纷抛出“惊人”目标。</w:t>
      </w:r>
    </w:p>
    <w:p>
      <w:pPr>
        <w:spacing w:line="360" w:lineRule="auto"/>
        <w:jc w:val="center"/>
        <w:rPr>
          <w:rFonts w:asciiTheme="minorEastAsia" w:hAnsiTheme="minorEastAsia"/>
          <w:color w:val="3E3E3E"/>
          <w:kern w:val="0"/>
          <w:sz w:val="28"/>
          <w:szCs w:val="28"/>
        </w:rPr>
      </w:pPr>
      <w:r>
        <w:rPr>
          <w:rFonts w:asciiTheme="minorEastAsia" w:hAnsiTheme="minorEastAsia"/>
          <w:color w:val="3E3E3E"/>
          <w:kern w:val="0"/>
          <w:sz w:val="28"/>
          <w:szCs w:val="28"/>
        </w:rPr>
        <w:drawing>
          <wp:inline distT="0" distB="0" distL="0" distR="0">
            <wp:extent cx="3756660" cy="8863330"/>
            <wp:effectExtent l="19050" t="0" r="0" b="0"/>
            <wp:docPr id="6" name="图片 5" descr="640.web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640.webp (1).jpg"/>
                    <pic:cNvPicPr>
                      <a:picLocks noChangeAspect="1"/>
                    </pic:cNvPicPr>
                  </pic:nvPicPr>
                  <pic:blipFill>
                    <a:blip r:embed="rId16"/>
                    <a:stretch>
                      <a:fillRect/>
                    </a:stretch>
                  </pic:blipFill>
                  <pic:spPr>
                    <a:xfrm>
                      <a:off x="0" y="0"/>
                      <a:ext cx="3756660" cy="8863330"/>
                    </a:xfrm>
                    <a:prstGeom prst="rect">
                      <a:avLst/>
                    </a:prstGeom>
                  </pic:spPr>
                </pic:pic>
              </a:graphicData>
            </a:graphic>
          </wp:inline>
        </w:drawing>
      </w:r>
    </w:p>
    <w:p>
      <w:pPr>
        <w:spacing w:line="678" w:lineRule="exact"/>
        <w:ind w:firstLine="560" w:firstLineChars="200"/>
        <w:rPr>
          <w:rFonts w:asciiTheme="minorEastAsia" w:hAnsiTheme="minorEastAsia"/>
          <w:color w:val="3E3E3E"/>
          <w:kern w:val="0"/>
          <w:sz w:val="28"/>
          <w:szCs w:val="28"/>
        </w:rPr>
      </w:pPr>
      <w:r>
        <w:rPr>
          <w:rFonts w:asciiTheme="minorEastAsia" w:hAnsiTheme="minorEastAsia"/>
          <w:color w:val="3E3E3E"/>
          <w:kern w:val="0"/>
          <w:sz w:val="28"/>
          <w:szCs w:val="28"/>
        </w:rPr>
        <w:t>2015年3月份，长安汽车公布了面向未来10年的新能源汽车发展战略，到2025年，公司累计销量突破200万辆，新能源汽车销售占比达10%。</w:t>
      </w:r>
    </w:p>
    <w:p>
      <w:pPr>
        <w:spacing w:line="678" w:lineRule="exact"/>
        <w:ind w:firstLine="560" w:firstLineChars="200"/>
        <w:rPr>
          <w:rFonts w:asciiTheme="minorEastAsia" w:hAnsiTheme="minorEastAsia"/>
          <w:color w:val="3E3E3E"/>
          <w:kern w:val="0"/>
          <w:sz w:val="28"/>
          <w:szCs w:val="28"/>
        </w:rPr>
      </w:pPr>
      <w:r>
        <w:rPr>
          <w:rFonts w:asciiTheme="minorEastAsia" w:hAnsiTheme="minorEastAsia"/>
          <w:color w:val="3E3E3E"/>
          <w:kern w:val="0"/>
          <w:sz w:val="28"/>
          <w:szCs w:val="28"/>
        </w:rPr>
        <w:t>长城汽车董事长魏建军之前曾宣称“短期内不会推出电动车”，但在2015年6月份，长城汽车突然宣布投资170.61亿元用于新能源汽车项目。另一家中国私营汽车制造商吉利汽车，在2015年11月份的广州车展上公布的新能源汽车销量目标更是语惊四座：2020年达到100万辆。</w:t>
      </w:r>
    </w:p>
    <w:p>
      <w:pPr>
        <w:spacing w:line="678" w:lineRule="exact"/>
        <w:ind w:firstLine="560" w:firstLineChars="200"/>
        <w:rPr>
          <w:rFonts w:asciiTheme="minorEastAsia" w:hAnsiTheme="minorEastAsia"/>
          <w:color w:val="3E3E3E"/>
          <w:kern w:val="0"/>
          <w:sz w:val="28"/>
          <w:szCs w:val="28"/>
        </w:rPr>
      </w:pPr>
      <w:r>
        <w:rPr>
          <w:rFonts w:asciiTheme="minorEastAsia" w:hAnsiTheme="minorEastAsia"/>
          <w:color w:val="3E3E3E"/>
          <w:kern w:val="0"/>
          <w:sz w:val="28"/>
          <w:szCs w:val="28"/>
        </w:rPr>
        <w:t>以生产电池起家的比亚迪，虽然并未规划未来5年或10年的具体销量目标，但是在公司战略上已经明显向新能源汽车倾斜。比亚迪在2015年6月份采取非公开募集资金150亿元投入新能源汽车的发展。</w:t>
      </w:r>
    </w:p>
    <w:p>
      <w:pPr>
        <w:spacing w:line="678" w:lineRule="exact"/>
        <w:ind w:firstLine="560" w:firstLineChars="200"/>
        <w:rPr>
          <w:rFonts w:asciiTheme="minorEastAsia" w:hAnsiTheme="minorEastAsia"/>
          <w:color w:val="3E3E3E"/>
          <w:kern w:val="0"/>
          <w:sz w:val="28"/>
          <w:szCs w:val="28"/>
        </w:rPr>
      </w:pPr>
      <w:r>
        <w:rPr>
          <w:rFonts w:asciiTheme="minorEastAsia" w:hAnsiTheme="minorEastAsia"/>
          <w:color w:val="3E3E3E"/>
          <w:kern w:val="0"/>
          <w:sz w:val="28"/>
          <w:szCs w:val="28"/>
        </w:rPr>
        <w:t>比亚迪汽车销售有限公司公关部经理杜国忠告诉《棱镜》，与传统燃油车每年2000多万销量对比，新能源汽车的占比不到1%，市场发展空间和蛋糕很大，比亚迪也希望各中国品牌汽车厂家在新能源汽车研发和生产方面能够做大做强，实现“弯道超车”，共同把新能源汽车的轿子抬起来。</w:t>
      </w:r>
    </w:p>
    <w:p>
      <w:pPr>
        <w:spacing w:line="678" w:lineRule="exact"/>
        <w:ind w:firstLine="560" w:firstLineChars="200"/>
        <w:rPr>
          <w:rFonts w:asciiTheme="minorEastAsia" w:hAnsiTheme="minorEastAsia"/>
          <w:color w:val="3E3E3E"/>
          <w:kern w:val="0"/>
          <w:sz w:val="28"/>
          <w:szCs w:val="28"/>
        </w:rPr>
      </w:pPr>
      <w:r>
        <w:rPr>
          <w:rFonts w:asciiTheme="minorEastAsia" w:hAnsiTheme="minorEastAsia"/>
          <w:color w:val="3E3E3E"/>
          <w:kern w:val="0"/>
          <w:sz w:val="28"/>
          <w:szCs w:val="28"/>
        </w:rPr>
        <w:t>比亚迪的目标是：力争把中国道路交通领域所有用油的地方全部用电搞定，逐步实现全市场布局，将电动化进行到底。</w:t>
      </w:r>
    </w:p>
    <w:p>
      <w:pPr>
        <w:spacing w:line="678" w:lineRule="exact"/>
        <w:ind w:firstLine="560" w:firstLineChars="200"/>
        <w:rPr>
          <w:rFonts w:asciiTheme="minorEastAsia" w:hAnsiTheme="minorEastAsia"/>
          <w:color w:val="3E3E3E"/>
          <w:kern w:val="0"/>
          <w:sz w:val="28"/>
          <w:szCs w:val="28"/>
        </w:rPr>
      </w:pPr>
      <w:r>
        <w:rPr>
          <w:rFonts w:asciiTheme="minorEastAsia" w:hAnsiTheme="minorEastAsia"/>
          <w:color w:val="3E3E3E"/>
          <w:kern w:val="0"/>
          <w:sz w:val="28"/>
          <w:szCs w:val="28"/>
        </w:rPr>
        <w:t>针对车企制定的高达上百万辆的销量目标以及成千上万亿的投入，德勤中国汽车行业管理咨询总监章扬对《棱镜》表示，传统车企发展新能源汽车的目的主要包括两个方面：一是从国家层面讲，十三五规划和中国制造2020中都非常重视新能源汽车的推广，不管是外资还是内资汽车公司，都希望在汽车行业有一个很好的归属；二是对汽车尾气排放的标准愈来愈严格，大家希望通过发展新能源汽车满足和达到排放标准。</w:t>
      </w:r>
    </w:p>
    <w:p>
      <w:pPr>
        <w:spacing w:line="678" w:lineRule="exact"/>
        <w:ind w:firstLine="560" w:firstLineChars="200"/>
        <w:rPr>
          <w:rFonts w:asciiTheme="minorEastAsia" w:hAnsiTheme="minorEastAsia"/>
          <w:color w:val="3E3E3E"/>
          <w:kern w:val="0"/>
          <w:sz w:val="28"/>
          <w:szCs w:val="28"/>
        </w:rPr>
      </w:pPr>
    </w:p>
    <w:p>
      <w:pPr>
        <w:spacing w:line="678" w:lineRule="exact"/>
        <w:ind w:firstLine="562" w:firstLineChars="200"/>
        <w:rPr>
          <w:rFonts w:asciiTheme="minorEastAsia" w:hAnsiTheme="minorEastAsia"/>
          <w:color w:val="3E3E3E"/>
          <w:kern w:val="0"/>
          <w:sz w:val="28"/>
          <w:szCs w:val="28"/>
        </w:rPr>
      </w:pPr>
      <w:r>
        <w:rPr>
          <w:rFonts w:asciiTheme="minorEastAsia" w:hAnsiTheme="minorEastAsia"/>
          <w:b/>
          <w:bCs/>
          <w:color w:val="3DAAD6"/>
          <w:kern w:val="0"/>
          <w:sz w:val="28"/>
          <w:szCs w:val="28"/>
        </w:rPr>
        <w:t>狂欢背后：技术障碍和地方保护并存</w:t>
      </w:r>
    </w:p>
    <w:p>
      <w:pPr>
        <w:spacing w:line="678" w:lineRule="exact"/>
        <w:ind w:firstLine="560" w:firstLineChars="200"/>
        <w:rPr>
          <w:rFonts w:asciiTheme="minorEastAsia" w:hAnsiTheme="minorEastAsia"/>
          <w:color w:val="3E3E3E"/>
          <w:kern w:val="0"/>
          <w:sz w:val="28"/>
          <w:szCs w:val="28"/>
        </w:rPr>
      </w:pPr>
      <w:r>
        <w:rPr>
          <w:rFonts w:hint="eastAsia" w:asciiTheme="minorEastAsia" w:hAnsiTheme="minorEastAsia"/>
          <w:color w:val="3E3E3E"/>
          <w:kern w:val="0"/>
          <w:sz w:val="28"/>
          <w:szCs w:val="28"/>
        </w:rPr>
        <w:t>这场狂欢盛宴之外，车企制定的目标与现实销量间的鸿沟清晰可见。</w:t>
      </w:r>
    </w:p>
    <w:p>
      <w:pPr>
        <w:spacing w:line="678" w:lineRule="exact"/>
        <w:ind w:firstLine="560" w:firstLineChars="200"/>
        <w:rPr>
          <w:rFonts w:asciiTheme="minorEastAsia" w:hAnsiTheme="minorEastAsia"/>
          <w:color w:val="3E3E3E"/>
          <w:kern w:val="0"/>
          <w:sz w:val="28"/>
          <w:szCs w:val="28"/>
        </w:rPr>
      </w:pPr>
      <w:r>
        <w:rPr>
          <w:rFonts w:hint="eastAsia" w:asciiTheme="minorEastAsia" w:hAnsiTheme="minorEastAsia"/>
          <w:color w:val="3E3E3E"/>
          <w:kern w:val="0"/>
          <w:sz w:val="28"/>
          <w:szCs w:val="28"/>
        </w:rPr>
        <w:t>王健对此深有体会。王健工作的性质经常要去江浙一带，但每次他开着购买的“秦”在高速路上行驶时，总是提心吊胆。</w:t>
      </w:r>
    </w:p>
    <w:p>
      <w:pPr>
        <w:spacing w:line="678" w:lineRule="exact"/>
        <w:ind w:firstLine="560" w:firstLineChars="200"/>
        <w:rPr>
          <w:rFonts w:asciiTheme="minorEastAsia" w:hAnsiTheme="minorEastAsia"/>
          <w:color w:val="3E3E3E"/>
          <w:kern w:val="0"/>
          <w:sz w:val="28"/>
          <w:szCs w:val="28"/>
        </w:rPr>
      </w:pPr>
      <w:r>
        <w:rPr>
          <w:rFonts w:hint="eastAsia" w:asciiTheme="minorEastAsia" w:hAnsiTheme="minorEastAsia"/>
          <w:color w:val="3E3E3E"/>
          <w:kern w:val="0"/>
          <w:sz w:val="28"/>
          <w:szCs w:val="28"/>
        </w:rPr>
        <w:t>“厂家宣传这款车的纯电动模式的续航里程是70公里，但经常不到60公里就没有电了。”王健苦恼的称，为了延长续航里程，甚至都没有打开空调，也没有播放音乐，但是结果还是不满意。“好在这款车是混合动力，没电了还可以加油。”</w:t>
      </w:r>
    </w:p>
    <w:p>
      <w:pPr>
        <w:spacing w:line="678" w:lineRule="exact"/>
        <w:ind w:firstLine="560" w:firstLineChars="200"/>
        <w:rPr>
          <w:rFonts w:asciiTheme="minorEastAsia" w:hAnsiTheme="minorEastAsia"/>
          <w:color w:val="3E3E3E"/>
          <w:kern w:val="0"/>
          <w:sz w:val="28"/>
          <w:szCs w:val="28"/>
        </w:rPr>
      </w:pPr>
      <w:r>
        <w:rPr>
          <w:rFonts w:hint="eastAsia" w:asciiTheme="minorEastAsia" w:hAnsiTheme="minorEastAsia"/>
          <w:color w:val="3E3E3E"/>
          <w:kern w:val="0"/>
          <w:sz w:val="28"/>
          <w:szCs w:val="28"/>
        </w:rPr>
        <w:t>王健的遭遇不是个案，而且也不是新能源汽车全部的问题。</w:t>
      </w:r>
    </w:p>
    <w:p>
      <w:pPr>
        <w:spacing w:line="678" w:lineRule="exact"/>
        <w:ind w:firstLine="562" w:firstLineChars="200"/>
        <w:rPr>
          <w:rFonts w:asciiTheme="minorEastAsia" w:hAnsiTheme="minorEastAsia"/>
          <w:color w:val="3E3E3E"/>
          <w:kern w:val="0"/>
          <w:sz w:val="28"/>
          <w:szCs w:val="28"/>
        </w:rPr>
      </w:pPr>
      <w:r>
        <w:rPr>
          <w:rFonts w:hint="eastAsia" w:asciiTheme="minorEastAsia" w:hAnsiTheme="minorEastAsia"/>
          <w:b/>
          <w:bCs/>
          <w:color w:val="FF4C41"/>
          <w:kern w:val="0"/>
          <w:sz w:val="28"/>
          <w:szCs w:val="28"/>
        </w:rPr>
        <w:t>根据《棱镜》获得的一家新能源汽车企业的调查结果显示，充电不方便和电池续航里程有限是消费者拒绝选择纯电动车的主要因素。</w:t>
      </w:r>
    </w:p>
    <w:p>
      <w:pPr>
        <w:spacing w:line="360" w:lineRule="auto"/>
        <w:ind w:firstLine="560" w:firstLineChars="200"/>
        <w:rPr>
          <w:rFonts w:asciiTheme="minorEastAsia" w:hAnsiTheme="minorEastAsia"/>
          <w:color w:val="3E3E3E"/>
          <w:kern w:val="0"/>
          <w:sz w:val="28"/>
          <w:szCs w:val="28"/>
        </w:rPr>
      </w:pPr>
      <w:r>
        <w:rPr>
          <w:rFonts w:hint="eastAsia" w:asciiTheme="minorEastAsia" w:hAnsiTheme="minorEastAsia"/>
          <w:color w:val="3E3E3E"/>
          <w:kern w:val="0"/>
          <w:sz w:val="28"/>
          <w:szCs w:val="28"/>
        </w:rPr>
        <w:drawing>
          <wp:inline distT="0" distB="0" distL="0" distR="0">
            <wp:extent cx="4487545" cy="8863330"/>
            <wp:effectExtent l="19050" t="0" r="8255" b="0"/>
            <wp:docPr id="4" name="图片 3" descr="640.web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640.webp (2).jpg"/>
                    <pic:cNvPicPr>
                      <a:picLocks noChangeAspect="1"/>
                    </pic:cNvPicPr>
                  </pic:nvPicPr>
                  <pic:blipFill>
                    <a:blip r:embed="rId17"/>
                    <a:stretch>
                      <a:fillRect/>
                    </a:stretch>
                  </pic:blipFill>
                  <pic:spPr>
                    <a:xfrm>
                      <a:off x="0" y="0"/>
                      <a:ext cx="4487545" cy="8863330"/>
                    </a:xfrm>
                    <a:prstGeom prst="rect">
                      <a:avLst/>
                    </a:prstGeom>
                  </pic:spPr>
                </pic:pic>
              </a:graphicData>
            </a:graphic>
          </wp:inline>
        </w:drawing>
      </w:r>
    </w:p>
    <w:p>
      <w:pPr>
        <w:spacing w:line="686" w:lineRule="exact"/>
        <w:ind w:firstLine="560" w:firstLineChars="200"/>
        <w:rPr>
          <w:rFonts w:asciiTheme="minorEastAsia" w:hAnsiTheme="minorEastAsia"/>
          <w:color w:val="3E3E3E"/>
          <w:kern w:val="0"/>
          <w:sz w:val="28"/>
          <w:szCs w:val="28"/>
        </w:rPr>
      </w:pPr>
      <w:r>
        <w:rPr>
          <w:rFonts w:asciiTheme="minorEastAsia" w:hAnsiTheme="minorEastAsia"/>
          <w:color w:val="3E3E3E"/>
          <w:kern w:val="0"/>
          <w:sz w:val="28"/>
          <w:szCs w:val="28"/>
        </w:rPr>
        <w:t>以北京为例。目前北京市已有充电桩2.1万根，只有8000根为公共充电桩。</w:t>
      </w:r>
    </w:p>
    <w:p>
      <w:pPr>
        <w:spacing w:line="686" w:lineRule="exact"/>
        <w:ind w:firstLine="560" w:firstLineChars="200"/>
        <w:rPr>
          <w:rFonts w:asciiTheme="minorEastAsia" w:hAnsiTheme="minorEastAsia"/>
          <w:color w:val="3E3E3E"/>
          <w:kern w:val="0"/>
          <w:sz w:val="28"/>
          <w:szCs w:val="28"/>
        </w:rPr>
      </w:pPr>
      <w:r>
        <w:rPr>
          <w:rFonts w:asciiTheme="minorEastAsia" w:hAnsiTheme="minorEastAsia"/>
          <w:color w:val="3E3E3E"/>
          <w:kern w:val="0"/>
          <w:sz w:val="28"/>
          <w:szCs w:val="28"/>
        </w:rPr>
        <w:t>如果电池续航里程够远，充电桩没有普及，大多数时候也可以“埃”到家。但目前的现实是，电池续航问题比充电桩普及更难解决。</w:t>
      </w:r>
    </w:p>
    <w:p>
      <w:pPr>
        <w:spacing w:line="686" w:lineRule="exact"/>
        <w:ind w:firstLine="560" w:firstLineChars="200"/>
        <w:rPr>
          <w:rFonts w:asciiTheme="minorEastAsia" w:hAnsiTheme="minorEastAsia"/>
          <w:color w:val="3E3E3E"/>
          <w:kern w:val="0"/>
          <w:sz w:val="28"/>
          <w:szCs w:val="28"/>
        </w:rPr>
      </w:pPr>
      <w:r>
        <w:rPr>
          <w:rFonts w:asciiTheme="minorEastAsia" w:hAnsiTheme="minorEastAsia"/>
          <w:color w:val="3E3E3E"/>
          <w:kern w:val="0"/>
          <w:sz w:val="28"/>
          <w:szCs w:val="28"/>
        </w:rPr>
        <w:t>充电桩可以依靠政府投入，但电池续航更多的则需要车企自己投入，因此，新能源的车企不得不投入巨资。</w:t>
      </w:r>
    </w:p>
    <w:p>
      <w:pPr>
        <w:spacing w:line="686" w:lineRule="exact"/>
        <w:ind w:firstLine="560" w:firstLineChars="200"/>
        <w:rPr>
          <w:rFonts w:asciiTheme="minorEastAsia" w:hAnsiTheme="minorEastAsia"/>
          <w:color w:val="3E3E3E"/>
          <w:kern w:val="0"/>
          <w:sz w:val="28"/>
          <w:szCs w:val="28"/>
        </w:rPr>
      </w:pPr>
      <w:r>
        <w:rPr>
          <w:rFonts w:asciiTheme="minorEastAsia" w:hAnsiTheme="minorEastAsia"/>
          <w:color w:val="3E3E3E"/>
          <w:kern w:val="0"/>
          <w:sz w:val="28"/>
          <w:szCs w:val="28"/>
        </w:rPr>
        <w:t>以比亚迪为例。比亚迪目前拥有三大研究院：比亚迪中央研究院、比亚迪电力研究院和比亚迪汽车研究院。这三大研究院主要围绕新能源领域展开，研究方向包括基础科学、储能和新能源发电及电动汽车。三大研究院囊括1.5万名年轻的工程师。</w:t>
      </w:r>
    </w:p>
    <w:p>
      <w:pPr>
        <w:spacing w:line="686" w:lineRule="exact"/>
        <w:ind w:firstLine="560" w:firstLineChars="200"/>
        <w:rPr>
          <w:rFonts w:asciiTheme="minorEastAsia" w:hAnsiTheme="minorEastAsia"/>
          <w:color w:val="3E3E3E"/>
          <w:kern w:val="0"/>
          <w:sz w:val="28"/>
          <w:szCs w:val="28"/>
        </w:rPr>
      </w:pPr>
      <w:r>
        <w:rPr>
          <w:rFonts w:asciiTheme="minorEastAsia" w:hAnsiTheme="minorEastAsia"/>
          <w:color w:val="3E3E3E"/>
          <w:kern w:val="0"/>
          <w:sz w:val="28"/>
          <w:szCs w:val="28"/>
        </w:rPr>
        <w:t>十年来，比亚迪在电动汽车关联领域的技术研发和产业投资已过百亿元。前期以技术研发为主，后期为产业投资准备。几乎把比亚迪所有盈利都投入到了技术研发和设备更新上，风险也可想而知。</w:t>
      </w:r>
    </w:p>
    <w:p>
      <w:pPr>
        <w:spacing w:line="686" w:lineRule="exact"/>
        <w:ind w:firstLine="560" w:firstLineChars="200"/>
        <w:rPr>
          <w:rFonts w:asciiTheme="minorEastAsia" w:hAnsiTheme="minorEastAsia"/>
          <w:color w:val="3E3E3E"/>
          <w:kern w:val="0"/>
          <w:sz w:val="28"/>
          <w:szCs w:val="28"/>
        </w:rPr>
      </w:pPr>
      <w:r>
        <w:rPr>
          <w:rFonts w:asciiTheme="minorEastAsia" w:hAnsiTheme="minorEastAsia"/>
          <w:color w:val="3E3E3E"/>
          <w:kern w:val="0"/>
          <w:sz w:val="28"/>
          <w:szCs w:val="28"/>
        </w:rPr>
        <w:t>此外，地方保护主义也是新能源车发展的障碍之一。</w:t>
      </w:r>
    </w:p>
    <w:p>
      <w:pPr>
        <w:spacing w:line="686" w:lineRule="exact"/>
        <w:ind w:firstLine="560" w:firstLineChars="200"/>
        <w:rPr>
          <w:rFonts w:asciiTheme="minorEastAsia" w:hAnsiTheme="minorEastAsia"/>
          <w:color w:val="3E3E3E"/>
          <w:kern w:val="0"/>
          <w:sz w:val="28"/>
          <w:szCs w:val="28"/>
        </w:rPr>
      </w:pPr>
      <w:r>
        <w:rPr>
          <w:rFonts w:asciiTheme="minorEastAsia" w:hAnsiTheme="minorEastAsia"/>
          <w:color w:val="3E3E3E"/>
          <w:kern w:val="0"/>
          <w:sz w:val="28"/>
          <w:szCs w:val="28"/>
        </w:rPr>
        <w:t>以北京为例。截至目前，北京市进入享受新能源汽车补贴政策目录的均为纯电动汽车。业内人士均认为，北京市新能源汽车补贴政策只补贴纯电动汽车的原因是北京市属国有汽车制造商北汽集团目前只生产纯电动汽车。</w:t>
      </w:r>
    </w:p>
    <w:p>
      <w:pPr>
        <w:spacing w:line="686" w:lineRule="exact"/>
        <w:ind w:firstLine="560" w:firstLineChars="200"/>
        <w:rPr>
          <w:rFonts w:asciiTheme="minorEastAsia" w:hAnsiTheme="minorEastAsia"/>
          <w:color w:val="3E3E3E"/>
          <w:kern w:val="0"/>
          <w:sz w:val="28"/>
          <w:szCs w:val="28"/>
        </w:rPr>
      </w:pPr>
      <w:r>
        <w:rPr>
          <w:rFonts w:asciiTheme="minorEastAsia" w:hAnsiTheme="minorEastAsia"/>
          <w:color w:val="3E3E3E"/>
          <w:kern w:val="0"/>
          <w:sz w:val="28"/>
          <w:szCs w:val="28"/>
        </w:rPr>
        <w:t>2016年初，一则“核查通知”让处在高歌猛进中的新能源汽车业遭遇当头棒喝。</w:t>
      </w:r>
    </w:p>
    <w:p>
      <w:pPr>
        <w:spacing w:line="686" w:lineRule="exact"/>
        <w:ind w:firstLine="560" w:firstLineChars="200"/>
        <w:rPr>
          <w:rFonts w:asciiTheme="minorEastAsia" w:hAnsiTheme="minorEastAsia"/>
          <w:color w:val="3E3E3E"/>
          <w:kern w:val="0"/>
          <w:sz w:val="28"/>
          <w:szCs w:val="28"/>
        </w:rPr>
      </w:pPr>
      <w:r>
        <w:rPr>
          <w:rFonts w:asciiTheme="minorEastAsia" w:hAnsiTheme="minorEastAsia"/>
          <w:color w:val="3E3E3E"/>
          <w:kern w:val="0"/>
          <w:sz w:val="28"/>
          <w:szCs w:val="28"/>
        </w:rPr>
        <w:t>1月22日，财政部等四部委联合发布了《关于开展新能源汽车推广应用核查工作的通知》指出：“对2013、2014年度获得中央财政补助资金的新能源汽车，以及申请2015年度中央财政补助资金的新能源汽车有关情况开展核查。”</w:t>
      </w:r>
    </w:p>
    <w:p>
      <w:pPr>
        <w:spacing w:line="686" w:lineRule="exact"/>
        <w:ind w:firstLine="560" w:firstLineChars="200"/>
        <w:rPr>
          <w:rFonts w:asciiTheme="minorEastAsia" w:hAnsiTheme="minorEastAsia"/>
          <w:color w:val="3E3E3E"/>
          <w:kern w:val="0"/>
          <w:sz w:val="28"/>
          <w:szCs w:val="28"/>
        </w:rPr>
      </w:pPr>
      <w:r>
        <w:rPr>
          <w:rFonts w:asciiTheme="minorEastAsia" w:hAnsiTheme="minorEastAsia"/>
          <w:color w:val="3E3E3E"/>
          <w:kern w:val="0"/>
          <w:sz w:val="28"/>
          <w:szCs w:val="28"/>
        </w:rPr>
        <w:t>补贴的政策以后将如何走向不得而知。但根据现有的政策，可以明确看出对新能源车的消费补贴也在下降:2015年4月份出台的2016年新能源汽车推广应用补助标准已经在之前的基础上有所下降，“2017－2018年补助标准在2016年基础上下降20%，2019－2020年补助标准在2016年基础上下降40%。”</w:t>
      </w:r>
    </w:p>
    <w:p>
      <w:pPr>
        <w:spacing w:line="686" w:lineRule="exact"/>
        <w:ind w:firstLine="560" w:firstLineChars="200"/>
        <w:rPr>
          <w:rFonts w:asciiTheme="minorEastAsia" w:hAnsiTheme="minorEastAsia"/>
          <w:color w:val="3E3E3E"/>
          <w:kern w:val="0"/>
          <w:sz w:val="28"/>
          <w:szCs w:val="28"/>
        </w:rPr>
      </w:pPr>
      <w:r>
        <w:rPr>
          <w:rFonts w:asciiTheme="minorEastAsia" w:hAnsiTheme="minorEastAsia"/>
          <w:color w:val="3E3E3E"/>
          <w:kern w:val="0"/>
          <w:sz w:val="28"/>
          <w:szCs w:val="28"/>
        </w:rPr>
        <w:t>中国工程院院杨裕生预测，新能源汽车如果要实现2020年500万辆的目标，“十三五”期间中央政府补贴约为3900亿元。而1月23日，中国电动汽车百人会理事长陈清泰称：“目前电动汽车还是一个高度依赖政策的市场，它的不可持续性也越来越明显。无论在市场推广还是扶持政策上，都应重新审视。”</w:t>
      </w:r>
    </w:p>
    <w:p>
      <w:pPr>
        <w:spacing w:line="686" w:lineRule="exact"/>
        <w:rPr>
          <w:rFonts w:asciiTheme="minorEastAsia" w:hAnsiTheme="minorEastAsia"/>
          <w:color w:val="3E3E3E"/>
          <w:kern w:val="0"/>
          <w:sz w:val="28"/>
          <w:szCs w:val="28"/>
        </w:rPr>
      </w:pPr>
    </w:p>
    <w:p>
      <w:pPr>
        <w:spacing w:line="686" w:lineRule="exact"/>
        <w:ind w:firstLine="562" w:firstLineChars="200"/>
        <w:rPr>
          <w:rFonts w:asciiTheme="minorEastAsia" w:hAnsiTheme="minorEastAsia"/>
          <w:color w:val="3E3E3E"/>
          <w:kern w:val="0"/>
          <w:sz w:val="28"/>
          <w:szCs w:val="28"/>
        </w:rPr>
      </w:pPr>
      <w:r>
        <w:rPr>
          <w:rFonts w:asciiTheme="minorEastAsia" w:hAnsiTheme="minorEastAsia"/>
          <w:b/>
          <w:bCs/>
          <w:color w:val="3DAAD6"/>
          <w:kern w:val="0"/>
          <w:sz w:val="28"/>
          <w:szCs w:val="28"/>
        </w:rPr>
        <w:t>新能源汽车有多环保？</w:t>
      </w:r>
    </w:p>
    <w:p>
      <w:pPr>
        <w:spacing w:line="686" w:lineRule="exact"/>
        <w:ind w:firstLine="560" w:firstLineChars="200"/>
        <w:rPr>
          <w:rFonts w:asciiTheme="minorEastAsia" w:hAnsiTheme="minorEastAsia"/>
          <w:color w:val="3E3E3E"/>
          <w:kern w:val="0"/>
          <w:sz w:val="28"/>
          <w:szCs w:val="28"/>
        </w:rPr>
      </w:pPr>
      <w:r>
        <w:rPr>
          <w:rFonts w:asciiTheme="minorEastAsia" w:hAnsiTheme="minorEastAsia"/>
          <w:color w:val="3E3E3E"/>
          <w:kern w:val="0"/>
          <w:sz w:val="28"/>
          <w:szCs w:val="28"/>
        </w:rPr>
        <w:t>在这场新能源的赌局中，所有车企押宝新能源汽车的一个重要原因则是中国政府对环境治理越来越趋紧的态度。</w:t>
      </w:r>
    </w:p>
    <w:p>
      <w:pPr>
        <w:spacing w:line="360" w:lineRule="auto"/>
        <w:rPr>
          <w:rFonts w:asciiTheme="minorEastAsia" w:hAnsiTheme="minorEastAsia"/>
          <w:color w:val="3E3E3E"/>
          <w:kern w:val="0"/>
          <w:sz w:val="28"/>
          <w:szCs w:val="28"/>
        </w:rPr>
      </w:pPr>
      <w:r>
        <w:rPr>
          <w:rFonts w:asciiTheme="minorEastAsia" w:hAnsiTheme="minorEastAsia"/>
          <w:color w:val="3E3E3E"/>
          <w:kern w:val="0"/>
          <w:sz w:val="28"/>
          <w:szCs w:val="28"/>
        </w:rPr>
        <w:drawing>
          <wp:inline distT="0" distB="0" distL="0" distR="0">
            <wp:extent cx="5274310" cy="6617335"/>
            <wp:effectExtent l="19050" t="0" r="2540" b="0"/>
            <wp:docPr id="5" name="图片 4" descr="640.web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640.webp (3).jpg"/>
                    <pic:cNvPicPr>
                      <a:picLocks noChangeAspect="1"/>
                    </pic:cNvPicPr>
                  </pic:nvPicPr>
                  <pic:blipFill>
                    <a:blip r:embed="rId18"/>
                    <a:stretch>
                      <a:fillRect/>
                    </a:stretch>
                  </pic:blipFill>
                  <pic:spPr>
                    <a:xfrm>
                      <a:off x="0" y="0"/>
                      <a:ext cx="5274310" cy="6617335"/>
                    </a:xfrm>
                    <a:prstGeom prst="rect">
                      <a:avLst/>
                    </a:prstGeom>
                  </pic:spPr>
                </pic:pic>
              </a:graphicData>
            </a:graphic>
          </wp:inline>
        </w:drawing>
      </w:r>
    </w:p>
    <w:p>
      <w:pPr>
        <w:spacing w:line="720" w:lineRule="exact"/>
        <w:ind w:firstLine="560" w:firstLineChars="200"/>
        <w:rPr>
          <w:rFonts w:asciiTheme="minorEastAsia" w:hAnsiTheme="minorEastAsia"/>
          <w:color w:val="3E3E3E"/>
          <w:kern w:val="0"/>
          <w:sz w:val="28"/>
          <w:szCs w:val="28"/>
        </w:rPr>
      </w:pPr>
      <w:r>
        <w:rPr>
          <w:rFonts w:asciiTheme="minorEastAsia" w:hAnsiTheme="minorEastAsia"/>
          <w:color w:val="3E3E3E"/>
          <w:kern w:val="0"/>
          <w:sz w:val="28"/>
          <w:szCs w:val="28"/>
        </w:rPr>
        <w:t>“1月份PM2.5浓度同比下降了37%，我依然高兴不起来，为什么？因为我们不知道后面会有什么特殊气象条件。”王安顺表达了对雾霾的担心，北京污染物第一位的是汽车，第二位的才是燃煤。</w:t>
      </w:r>
    </w:p>
    <w:p>
      <w:pPr>
        <w:spacing w:line="720" w:lineRule="exact"/>
        <w:ind w:firstLine="560" w:firstLineChars="200"/>
        <w:rPr>
          <w:rFonts w:asciiTheme="minorEastAsia" w:hAnsiTheme="minorEastAsia"/>
          <w:color w:val="3E3E3E"/>
          <w:kern w:val="0"/>
          <w:sz w:val="28"/>
          <w:szCs w:val="28"/>
        </w:rPr>
      </w:pPr>
      <w:r>
        <w:rPr>
          <w:rFonts w:asciiTheme="minorEastAsia" w:hAnsiTheme="minorEastAsia"/>
          <w:color w:val="3E3E3E"/>
          <w:kern w:val="0"/>
          <w:sz w:val="28"/>
          <w:szCs w:val="28"/>
        </w:rPr>
        <w:t>政策制定者们也在努力解决机动车排放对环境污染的问题。比如，京六标准将于2017年正式实施，到2020年平均油耗将降至5升/百公里以下，这意味着如不能满足法规条件，传统汽车将会遭到市场抛弃。</w:t>
      </w:r>
    </w:p>
    <w:p>
      <w:pPr>
        <w:spacing w:line="720" w:lineRule="exact"/>
        <w:ind w:firstLine="562" w:firstLineChars="200"/>
        <w:rPr>
          <w:rFonts w:asciiTheme="minorEastAsia" w:hAnsiTheme="minorEastAsia"/>
          <w:color w:val="3E3E3E"/>
          <w:kern w:val="0"/>
          <w:sz w:val="28"/>
          <w:szCs w:val="28"/>
        </w:rPr>
      </w:pPr>
      <w:r>
        <w:rPr>
          <w:rFonts w:asciiTheme="minorEastAsia" w:hAnsiTheme="minorEastAsia"/>
          <w:b/>
          <w:bCs/>
          <w:color w:val="FF4C41"/>
          <w:kern w:val="0"/>
          <w:sz w:val="28"/>
          <w:szCs w:val="28"/>
        </w:rPr>
        <w:t>严格的政策，以及政策执行者对环境的关系，另一方面，也意味着新能源汽车市场将越来越大。但新能源汽车是否真的节能环保也成为人们一直争议的话题。</w:t>
      </w:r>
    </w:p>
    <w:p>
      <w:pPr>
        <w:spacing w:line="720" w:lineRule="exact"/>
        <w:ind w:firstLine="560" w:firstLineChars="200"/>
        <w:rPr>
          <w:rFonts w:asciiTheme="minorEastAsia" w:hAnsiTheme="minorEastAsia"/>
          <w:color w:val="3E3E3E"/>
          <w:kern w:val="0"/>
          <w:sz w:val="28"/>
          <w:szCs w:val="28"/>
        </w:rPr>
      </w:pPr>
      <w:r>
        <w:rPr>
          <w:rFonts w:asciiTheme="minorEastAsia" w:hAnsiTheme="minorEastAsia"/>
          <w:color w:val="3E3E3E"/>
          <w:kern w:val="0"/>
          <w:sz w:val="28"/>
          <w:szCs w:val="28"/>
        </w:rPr>
        <w:t>在比亚迪内部有一个流传甚广的段子。有官员来比亚迪参观，有人问及电池污染问题，王传福当场拿杯子舀了一些电解液喝了下去。段子的真实性存疑，但新能源电池的污染问题却在引起关注。</w:t>
      </w:r>
    </w:p>
    <w:p>
      <w:pPr>
        <w:spacing w:line="720" w:lineRule="exact"/>
        <w:ind w:firstLine="560" w:firstLineChars="200"/>
        <w:rPr>
          <w:rFonts w:asciiTheme="minorEastAsia" w:hAnsiTheme="minorEastAsia"/>
          <w:color w:val="3E3E3E"/>
          <w:kern w:val="0"/>
          <w:sz w:val="28"/>
          <w:szCs w:val="28"/>
        </w:rPr>
      </w:pPr>
      <w:r>
        <w:rPr>
          <w:rFonts w:asciiTheme="minorEastAsia" w:hAnsiTheme="minorEastAsia"/>
          <w:color w:val="3E3E3E"/>
          <w:kern w:val="0"/>
          <w:sz w:val="28"/>
          <w:szCs w:val="28"/>
        </w:rPr>
        <w:t>普华永道全球汽车领域负责人Rick Hanna认为，当前中国主要是用煤炭发电，差异性在于发电厂如果能够提供可再生发电方式，电动车的节能高效显而易见；相反，如果基础设施建设没有达到一定水平，其源头污染并不可小觑。</w:t>
      </w:r>
    </w:p>
    <w:p>
      <w:pPr>
        <w:spacing w:line="720" w:lineRule="exact"/>
        <w:ind w:firstLine="560" w:firstLineChars="200"/>
        <w:rPr>
          <w:rFonts w:asciiTheme="minorEastAsia" w:hAnsiTheme="minorEastAsia"/>
          <w:color w:val="3E3E3E"/>
          <w:kern w:val="0"/>
          <w:sz w:val="28"/>
          <w:szCs w:val="28"/>
        </w:rPr>
      </w:pPr>
      <w:r>
        <w:rPr>
          <w:rFonts w:asciiTheme="minorEastAsia" w:hAnsiTheme="minorEastAsia"/>
          <w:color w:val="3E3E3E"/>
          <w:kern w:val="0"/>
          <w:sz w:val="28"/>
          <w:szCs w:val="28"/>
        </w:rPr>
        <w:t>国家“863”计划节能与新能源汽车重点项目总体专家组组长欧阳明高，在近日接受媒体采访时表示，煤电驱动比燃油驱动效率高13%。</w:t>
      </w:r>
    </w:p>
    <w:p>
      <w:pPr>
        <w:spacing w:line="720" w:lineRule="exact"/>
        <w:ind w:firstLine="560" w:firstLineChars="200"/>
        <w:rPr>
          <w:rFonts w:asciiTheme="minorEastAsia" w:hAnsiTheme="minorEastAsia"/>
          <w:color w:val="3E3E3E"/>
          <w:kern w:val="0"/>
          <w:sz w:val="28"/>
          <w:szCs w:val="28"/>
        </w:rPr>
      </w:pPr>
      <w:r>
        <w:rPr>
          <w:rFonts w:asciiTheme="minorEastAsia" w:hAnsiTheme="minorEastAsia"/>
          <w:color w:val="3E3E3E"/>
          <w:kern w:val="0"/>
          <w:sz w:val="28"/>
          <w:szCs w:val="28"/>
        </w:rPr>
        <w:t>根据美国媒体Autoblog 报道，美国一项最新研究表明，某些电动汽车对于环境的污染明显高于传统汽车，并呼吁电动汽车制造商缴纳更多的税款，而非获得补贴。内燃机和电动机在工作原理上的区别：内燃机是前瞻性的，由消费者自己选择是大功率排放还是选择节能省油。但是，电动车的排放是在源头排放而不是本地排放。</w:t>
      </w:r>
    </w:p>
    <w:p>
      <w:pPr>
        <w:spacing w:line="720" w:lineRule="exact"/>
        <w:ind w:firstLine="560" w:firstLineChars="200"/>
        <w:rPr>
          <w:rFonts w:asciiTheme="minorEastAsia" w:hAnsiTheme="minorEastAsia"/>
          <w:color w:val="3E3E3E"/>
          <w:kern w:val="0"/>
          <w:sz w:val="28"/>
          <w:szCs w:val="28"/>
        </w:rPr>
      </w:pPr>
      <w:r>
        <w:rPr>
          <w:rFonts w:asciiTheme="minorEastAsia" w:hAnsiTheme="minorEastAsia"/>
          <w:color w:val="3E3E3E"/>
          <w:kern w:val="0"/>
          <w:sz w:val="28"/>
          <w:szCs w:val="28"/>
        </w:rPr>
        <w:t>另一方面，是电动车废旧电池带来的污染。北京理工大学教授吴峰曾表示，一块电动车的废旧电池如果处理不当，会污染近500亩土地。而电动车的电池只能充入70%的电力就需要更换，否则无法提供足够的动力。</w:t>
      </w:r>
    </w:p>
    <w:p>
      <w:pPr>
        <w:spacing w:line="720" w:lineRule="exact"/>
        <w:ind w:firstLine="560" w:firstLineChars="200"/>
        <w:rPr>
          <w:rFonts w:asciiTheme="minorEastAsia" w:hAnsiTheme="minorEastAsia"/>
          <w:color w:val="3E3E3E"/>
          <w:kern w:val="0"/>
          <w:sz w:val="28"/>
          <w:szCs w:val="28"/>
        </w:rPr>
      </w:pPr>
      <w:r>
        <w:rPr>
          <w:rFonts w:asciiTheme="minorEastAsia" w:hAnsiTheme="minorEastAsia"/>
          <w:color w:val="3E3E3E"/>
          <w:kern w:val="0"/>
          <w:sz w:val="28"/>
          <w:szCs w:val="28"/>
        </w:rPr>
        <w:t>“电动汽车推广时间还不久，还没有迎来第一波大规模报废期，目前确实没有建立起来电动汽车废旧电池回收体系，但该问题已经受到国家重视。”工信部国际经济技术合作中心全球能源资源环境研究所副所长毛涛告诉《棱镜》，电动汽车的设计寿命通常为8年左右，如果2014年以“电动汽车元年”计算，2020年左右将迎来大规模的电动汽车报废潮。</w:t>
      </w:r>
    </w:p>
    <w:p>
      <w:pPr>
        <w:spacing w:line="720" w:lineRule="exact"/>
        <w:ind w:firstLine="560" w:firstLineChars="200"/>
        <w:rPr>
          <w:rFonts w:asciiTheme="minorEastAsia" w:hAnsiTheme="minorEastAsia"/>
          <w:color w:val="3E3E3E"/>
          <w:kern w:val="0"/>
          <w:sz w:val="28"/>
          <w:szCs w:val="28"/>
        </w:rPr>
      </w:pPr>
      <w:r>
        <w:rPr>
          <w:rFonts w:asciiTheme="minorEastAsia" w:hAnsiTheme="minorEastAsia"/>
          <w:color w:val="3E3E3E"/>
          <w:kern w:val="0"/>
          <w:sz w:val="28"/>
          <w:szCs w:val="28"/>
        </w:rPr>
        <w:t>2015年9月份，国家公布了电动车电池回收技术政策的征求意见稿，对电池的回收主体和进一步利用做了详细规定，该政策有望在今年正式出台。</w:t>
      </w:r>
    </w:p>
    <w:p>
      <w:pPr>
        <w:spacing w:line="720" w:lineRule="exact"/>
        <w:ind w:firstLine="562" w:firstLineChars="200"/>
        <w:rPr>
          <w:rFonts w:asciiTheme="minorEastAsia" w:hAnsiTheme="minorEastAsia"/>
          <w:b/>
          <w:color w:val="3E3E3E"/>
          <w:kern w:val="0"/>
          <w:sz w:val="28"/>
          <w:szCs w:val="28"/>
        </w:rPr>
      </w:pPr>
    </w:p>
    <w:p>
      <w:pPr>
        <w:rPr>
          <w:b/>
        </w:rPr>
      </w:pPr>
      <w:r>
        <w:rPr>
          <w:rFonts w:hint="eastAsia"/>
          <w:b/>
        </w:rPr>
        <w:t>转自：腾讯财经《棱镜》</w:t>
      </w:r>
    </w:p>
    <w:p>
      <w:pPr/>
    </w:p>
    <w:p>
      <w:pPr/>
    </w:p>
    <w:p>
      <w:pPr/>
    </w:p>
    <w:p>
      <w:pPr>
        <w:pStyle w:val="3"/>
        <w:jc w:val="center"/>
      </w:pPr>
      <w:bookmarkStart w:id="213" w:name="_Toc446322511"/>
      <w:bookmarkStart w:id="214" w:name="_Toc446330652"/>
      <w:bookmarkStart w:id="215" w:name="_Toc446326783"/>
      <w:bookmarkStart w:id="216" w:name="_Toc446330755"/>
      <w:bookmarkStart w:id="217" w:name="_Toc446324714"/>
      <w:r>
        <w:t>如何实现应收账款质押权——从最高院第53号指导案例说起</w:t>
      </w:r>
      <w:bookmarkEnd w:id="213"/>
      <w:bookmarkEnd w:id="214"/>
      <w:bookmarkEnd w:id="215"/>
      <w:bookmarkEnd w:id="216"/>
      <w:bookmarkEnd w:id="217"/>
    </w:p>
    <w:p>
      <w:pPr>
        <w:spacing w:line="360" w:lineRule="auto"/>
        <w:ind w:firstLine="560" w:firstLineChars="200"/>
        <w:jc w:val="left"/>
        <w:rPr>
          <w:rFonts w:asciiTheme="minorEastAsia" w:hAnsiTheme="minorEastAsia"/>
          <w:color w:val="3E3E3E"/>
          <w:sz w:val="28"/>
          <w:szCs w:val="28"/>
        </w:rPr>
      </w:pPr>
      <w:r>
        <w:rPr>
          <w:rFonts w:asciiTheme="minorEastAsia" w:hAnsiTheme="minorEastAsia"/>
          <w:sz w:val="28"/>
          <w:szCs w:val="28"/>
        </w:rPr>
        <w:t>《物权法》自2007年10月1日起施行后，因其第二百二十三条第六项规定“应收账款”可以用作质物，故应收账款作为一种新的担保方式进入了市场的视野。同时，由于该法第二百二十八条规定“以应收账款出质的，当事人应当订立书面合同。质权自信贷征信机构办理出质登记时设立”，故在中国人民银行于2007年10月1日颁布中国人民银行机构令（2007）第4号，即《应收账款质押登记办法》后，中国人民银行征信中心配套建立的“应收账款质押登记公示系统“就成为前述法律规定的官方公示公信机制，为应收账款质押的设立、查询、异议确立了操作的平台。至此，应收账款质押的设立无论是在法律规定层面上，还是实务操作层面上，都已经得到了完善。</w:t>
      </w:r>
    </w:p>
    <w:p>
      <w:pPr>
        <w:spacing w:line="360" w:lineRule="auto"/>
        <w:ind w:firstLine="560" w:firstLineChars="200"/>
        <w:jc w:val="left"/>
        <w:rPr>
          <w:rFonts w:asciiTheme="minorEastAsia" w:hAnsiTheme="minorEastAsia"/>
          <w:color w:val="3E3E3E"/>
          <w:sz w:val="28"/>
          <w:szCs w:val="28"/>
        </w:rPr>
      </w:pPr>
      <w:r>
        <w:rPr>
          <w:rFonts w:asciiTheme="minorEastAsia" w:hAnsiTheme="minorEastAsia"/>
          <w:sz w:val="28"/>
          <w:szCs w:val="28"/>
        </w:rPr>
        <w:t>但是，从实务操作角度看，我国《担保法》和《物权法》均未具体规定权利质权的具体实现方式，仅就质权的实现作出一般性的规定[1]，即质权人在行使质权时，可与出质人协议以质押财产折价，或就拍卖、变卖质押财产所得的价款优先受偿。因此，究竟在实现应收债权质押时，是应当将应收的账款去进行折价，还是对其进行拍卖和变卖，还是去采取其他方式予以实现，多年来在实务中一直争议不断。</w:t>
      </w:r>
    </w:p>
    <w:p>
      <w:pPr>
        <w:spacing w:line="360" w:lineRule="auto"/>
        <w:ind w:firstLine="560" w:firstLineChars="200"/>
        <w:jc w:val="left"/>
        <w:rPr>
          <w:rFonts w:asciiTheme="minorEastAsia" w:hAnsiTheme="minorEastAsia"/>
          <w:color w:val="3E3E3E"/>
          <w:sz w:val="28"/>
          <w:szCs w:val="28"/>
        </w:rPr>
      </w:pPr>
      <w:r>
        <w:rPr>
          <w:rFonts w:asciiTheme="minorEastAsia" w:hAnsiTheme="minorEastAsia"/>
          <w:sz w:val="28"/>
          <w:szCs w:val="28"/>
        </w:rPr>
        <w:t>从我们多年来在上海和杭州等地的实践以及从网络上收集的70余件案例来看，尽管多数法院都在有证据的情况下支持了质权人要求就已质押应收账款享受优先受偿权的请求，但其中的绝大多数并未具体明确优先受偿权究竟应当如何实现。特别是，少量法院其判决中明确质权人实现优先受偿权的方式为拍卖、变卖已质押的应收账款，例如安徽省高级人民法院终审的（2014）皖民二终字第00283号案件中，原审的合肥市中级人民法院就判决原告有权将被告质押的应收款“拍卖、变卖价款或折价后优先受偿”。做出类似判决的还有上海市闵行区人民法院。</w:t>
      </w:r>
    </w:p>
    <w:p>
      <w:pPr>
        <w:spacing w:line="360" w:lineRule="auto"/>
        <w:ind w:firstLine="560" w:firstLineChars="200"/>
        <w:jc w:val="left"/>
        <w:rPr>
          <w:rFonts w:asciiTheme="minorEastAsia" w:hAnsiTheme="minorEastAsia"/>
          <w:color w:val="3E3E3E"/>
          <w:sz w:val="28"/>
          <w:szCs w:val="28"/>
        </w:rPr>
      </w:pPr>
      <w:r>
        <w:rPr>
          <w:rFonts w:asciiTheme="minorEastAsia" w:hAnsiTheme="minorEastAsia"/>
          <w:sz w:val="28"/>
          <w:szCs w:val="28"/>
        </w:rPr>
        <w:t>但是，由于应收账款本身流动性差，次债务人（即已质押应收债款的付款人，系出质人的债务人）的资信情况难以把握等原因，如将已质押的应收账款再行拍卖、变卖，不仅耗时长，而且极易造成清偿率下降等弊端，且还会遇到已质押应收账款本身属性不适宜拍卖等情况，极大地妨害了应收账款质押权的实现。</w:t>
      </w:r>
    </w:p>
    <w:p>
      <w:pPr>
        <w:spacing w:line="360" w:lineRule="auto"/>
        <w:ind w:firstLine="560" w:firstLineChars="200"/>
        <w:jc w:val="left"/>
        <w:rPr>
          <w:rFonts w:asciiTheme="minorEastAsia" w:hAnsiTheme="minorEastAsia"/>
          <w:color w:val="3E3E3E"/>
          <w:sz w:val="28"/>
          <w:szCs w:val="28"/>
        </w:rPr>
      </w:pPr>
      <w:r>
        <w:rPr>
          <w:rFonts w:asciiTheme="minorEastAsia" w:hAnsiTheme="minorEastAsia"/>
          <w:sz w:val="28"/>
          <w:szCs w:val="28"/>
        </w:rPr>
        <w:t>就在此时，我们充分注意到最高人民法院审判委员会讨论通过，2015年11月19日发布的指导案例53号，即福建海峡银行股份有限公司福州五一支行诉长乐亚新污水处理有限公司、福州市政工程有限公司金融借款合同纠纷案所表明的一种新的处理方式。</w:t>
      </w:r>
    </w:p>
    <w:p>
      <w:pPr>
        <w:spacing w:line="360" w:lineRule="auto"/>
        <w:ind w:firstLine="560" w:firstLineChars="200"/>
        <w:jc w:val="left"/>
        <w:rPr>
          <w:rFonts w:asciiTheme="minorEastAsia" w:hAnsiTheme="minorEastAsia"/>
          <w:color w:val="3E3E3E"/>
          <w:sz w:val="28"/>
          <w:szCs w:val="28"/>
        </w:rPr>
      </w:pPr>
      <w:r>
        <w:rPr>
          <w:rFonts w:asciiTheme="minorEastAsia" w:hAnsiTheme="minorEastAsia"/>
          <w:sz w:val="28"/>
          <w:szCs w:val="28"/>
        </w:rPr>
        <w:t>在该案中，最高人民法院认同一审法院福州市中级人民法院作出的“但污水处理项目收益权[2]属于将来金钱债权，质权人可请求法院判令其直接向出质人的债务人收取金钱并对该金钱行使优先受偿权，故无需采取折价或拍卖、变卖之方式”的结论，即最高人民法院认为质权人可以直接要求次债务人向其支付应付给出质人的应付账款，而无需对应付账款进行拍卖或变卖。</w:t>
      </w:r>
    </w:p>
    <w:p>
      <w:pPr>
        <w:spacing w:line="360" w:lineRule="auto"/>
        <w:ind w:firstLine="560" w:firstLineChars="200"/>
        <w:jc w:val="left"/>
        <w:rPr>
          <w:rFonts w:asciiTheme="minorEastAsia" w:hAnsiTheme="minorEastAsia"/>
          <w:color w:val="3E3E3E"/>
          <w:sz w:val="28"/>
          <w:szCs w:val="28"/>
        </w:rPr>
      </w:pPr>
      <w:r>
        <w:rPr>
          <w:rFonts w:asciiTheme="minorEastAsia" w:hAnsiTheme="minorEastAsia"/>
          <w:sz w:val="28"/>
          <w:szCs w:val="28"/>
        </w:rPr>
        <w:t>就此，我们认为，由于应收账款质押的标的为请求支付一定数额金钱的权利，故将此类“请求给付金钱的权利”如果依照实现质权的一般规则来寻求实现，即通过拍卖或变卖方式再转化为金钱，既存在将作为一般等价物的金钱特定化的困难，也无实际意义，更没有经济上和法理上的价值。因此，在与我国采取类似立法的国家中，多数都支持质权人直接要求次债务人直接付款。例如，台湾地区的民法典物权篇第九百零五条即规定：“为质权目标物之债权，以金钱给付为内容，而其清偿期先于其所担保债权之清偿期者，质权人得请求债务人提存之，并对提存物行使其质权。为质权目标物之债权，以金钱给付为内容，而其清偿期后于其所担保债权之清偿期者，质权人于其清偿期届至时，得就担保之债权额，为给付之请求”。类似地，德国民法典[3]第1282条第1款即规定：“……质权人有权收取债权，而债务人只能向质权人履行给付”。日本民法典第三百六十七条第一款也规定：“质权人可以直接收取作为质权标的的债权”。瑞士民法典也有类似的规定[4]。</w:t>
      </w:r>
    </w:p>
    <w:p>
      <w:pPr>
        <w:spacing w:line="360" w:lineRule="auto"/>
        <w:ind w:firstLine="560" w:firstLineChars="200"/>
        <w:jc w:val="left"/>
        <w:rPr>
          <w:rFonts w:asciiTheme="minorEastAsia" w:hAnsiTheme="minorEastAsia"/>
          <w:color w:val="3E3E3E"/>
          <w:sz w:val="28"/>
          <w:szCs w:val="28"/>
        </w:rPr>
      </w:pPr>
      <w:r>
        <w:rPr>
          <w:rFonts w:asciiTheme="minorEastAsia" w:hAnsiTheme="minorEastAsia"/>
          <w:sz w:val="28"/>
          <w:szCs w:val="28"/>
        </w:rPr>
        <w:t>因此，我们理解，最高院通过该指导案例，已经明确了一种“新”的质权实现方式，即请求次债务人直接向质权人付款，且无需通过拍卖和变卖。</w:t>
      </w:r>
    </w:p>
    <w:p>
      <w:pPr>
        <w:spacing w:line="360" w:lineRule="auto"/>
        <w:ind w:firstLine="560" w:firstLineChars="200"/>
        <w:jc w:val="left"/>
        <w:rPr>
          <w:rFonts w:asciiTheme="minorEastAsia" w:hAnsiTheme="minorEastAsia"/>
          <w:color w:val="3E3E3E"/>
          <w:sz w:val="28"/>
          <w:szCs w:val="28"/>
        </w:rPr>
      </w:pPr>
      <w:r>
        <w:rPr>
          <w:rFonts w:asciiTheme="minorEastAsia" w:hAnsiTheme="minorEastAsia"/>
          <w:sz w:val="28"/>
          <w:szCs w:val="28"/>
        </w:rPr>
        <w:t>我们注意到，南京市中级人民法院在（2015）宁商终字第454号案件中，也判令次债务人南京德豪应在质押账款限额1,500万元范围内，直接将应付的工程款支付到质权人中信银行开设的专用收款银行账户。这个案例在某种程度上可以视为部分法院已经采纳了对普通的、可以拍卖和变卖的应收款采用直接请求给付方式实现优先受偿的方式。</w:t>
      </w:r>
    </w:p>
    <w:p>
      <w:pPr>
        <w:spacing w:line="360" w:lineRule="auto"/>
        <w:ind w:firstLine="560" w:firstLineChars="200"/>
        <w:jc w:val="left"/>
        <w:rPr>
          <w:rFonts w:asciiTheme="minorEastAsia" w:hAnsiTheme="minorEastAsia"/>
          <w:color w:val="3E3E3E"/>
          <w:sz w:val="28"/>
          <w:szCs w:val="28"/>
        </w:rPr>
      </w:pPr>
      <w:r>
        <w:rPr>
          <w:rFonts w:asciiTheme="minorEastAsia" w:hAnsiTheme="minorEastAsia"/>
          <w:sz w:val="28"/>
          <w:szCs w:val="28"/>
        </w:rPr>
        <w:t>简而言之，我们认为，质权人目前已可以尝试要求法院判决以次债务人直接向质权人支付作为实现优先受偿权的方式，以期达到成本低，收效快的效果。</w:t>
      </w:r>
    </w:p>
    <w:p>
      <w:pPr>
        <w:spacing w:line="360" w:lineRule="auto"/>
        <w:ind w:firstLine="560" w:firstLineChars="200"/>
        <w:jc w:val="left"/>
        <w:rPr>
          <w:rFonts w:asciiTheme="minorEastAsia" w:hAnsiTheme="minorEastAsia"/>
          <w:color w:val="3E3E3E"/>
          <w:sz w:val="28"/>
          <w:szCs w:val="28"/>
        </w:rPr>
      </w:pPr>
      <w:r>
        <w:rPr>
          <w:rFonts w:asciiTheme="minorEastAsia" w:hAnsiTheme="minorEastAsia"/>
          <w:sz w:val="28"/>
          <w:szCs w:val="28"/>
        </w:rPr>
        <w:t>但需要额外提示的是，由于该指导案例系的争议标的物是与特许经营权直接相关的污水处理项目收益权，且在最高院的官网上[5]，本案的裁判要点亦明确为：“1. 特许经营权的收益权可以质押，并可作为应收账款进行出质登记。 2.特许经营权的收益权依其性质不宜折价、拍卖或变卖，质权人主张优先受偿权的，人民法院可以判令出质债权的债务人将收益权的应收账款优先支付质权人”。故此前有关本指导案例的解读均集中在阐明该判决对PPP项目融资的意义，特别是特许经营收益权的可质押性和可直接要求支付性上，而没有将其拓展到一般的应收账款质押实现问题上。那么，这是否在某种程度上意味着其他性质上是普通的、可以拍卖和变卖的应收账款就不能采用直接请求给付方式实现优先受偿呢？从我们的解读来看，法院支持原告要求案外人直接向其付款的首要理由是“将来金钱债权”，“可请求判令其（质权人）直接……收取金钱”，“无需采取折价或拍卖、变卖之方式”，然后才是“依其性质亦不宜拍卖、变卖”。即，法院认为对应收账款质押而言，支持质权人要求次债务人直接付款的根本理由是依相应权利性质无需折价或拍卖、变卖，然后才是回归到指导案例本身的具体情况，认为涉案的应收账款还具有不适合拍卖的属性，故更加应当支持直接付款的请求。因此，法院判决的逻辑是一种从一般到特殊的递进关系，而不是大小前提关系或因果关系。故应当认定最高院的前述指导判例是具有普适意义的，可以适用于可拍卖和变卖的一般类型的应收账款实现案件上。</w:t>
      </w:r>
    </w:p>
    <w:p>
      <w:pPr>
        <w:spacing w:line="360" w:lineRule="auto"/>
        <w:ind w:firstLine="560" w:firstLineChars="200"/>
        <w:jc w:val="left"/>
        <w:rPr>
          <w:rFonts w:asciiTheme="minorEastAsia" w:hAnsiTheme="minorEastAsia"/>
          <w:color w:val="3E3E3E"/>
          <w:sz w:val="28"/>
          <w:szCs w:val="28"/>
        </w:rPr>
      </w:pPr>
      <w:r>
        <w:rPr>
          <w:rFonts w:asciiTheme="minorEastAsia" w:hAnsiTheme="minorEastAsia"/>
          <w:sz w:val="28"/>
          <w:szCs w:val="28"/>
        </w:rPr>
        <w:t>注：</w:t>
      </w:r>
    </w:p>
    <w:p>
      <w:pPr>
        <w:spacing w:line="360" w:lineRule="auto"/>
        <w:ind w:firstLine="560" w:firstLineChars="200"/>
        <w:jc w:val="left"/>
        <w:rPr>
          <w:rFonts w:asciiTheme="minorEastAsia" w:hAnsiTheme="minorEastAsia"/>
          <w:color w:val="3E3E3E"/>
          <w:sz w:val="28"/>
          <w:szCs w:val="28"/>
        </w:rPr>
      </w:pPr>
      <w:r>
        <w:rPr>
          <w:rFonts w:asciiTheme="minorEastAsia" w:hAnsiTheme="minorEastAsia"/>
          <w:sz w:val="28"/>
          <w:szCs w:val="28"/>
        </w:rPr>
        <w:t>1 《担保法》第七十一条第二款；《物权法》第二百一十九条第二款。</w:t>
      </w:r>
    </w:p>
    <w:p>
      <w:pPr>
        <w:spacing w:line="360" w:lineRule="auto"/>
        <w:ind w:firstLine="560" w:firstLineChars="200"/>
        <w:jc w:val="left"/>
        <w:rPr>
          <w:rFonts w:asciiTheme="minorEastAsia" w:hAnsiTheme="minorEastAsia"/>
          <w:color w:val="3E3E3E"/>
          <w:sz w:val="28"/>
          <w:szCs w:val="28"/>
        </w:rPr>
      </w:pPr>
      <w:r>
        <w:rPr>
          <w:rFonts w:asciiTheme="minorEastAsia" w:hAnsiTheme="minorEastAsia"/>
          <w:sz w:val="28"/>
          <w:szCs w:val="28"/>
        </w:rPr>
        <w:t>2 由于公告案例并未刊登判决书全文，我们亦未获机会审阅相关证据，因此，单从公告本身来看，所谓的收益权并不是因污水处理而取得的对不特定主体的收费权，而仅仅指因获得相应特许经营权以后，有权请求政府（本案中是长乐市建设局）支付服务费用的权利。</w:t>
      </w:r>
    </w:p>
    <w:p>
      <w:pPr>
        <w:spacing w:line="360" w:lineRule="auto"/>
        <w:ind w:firstLine="560" w:firstLineChars="200"/>
        <w:jc w:val="left"/>
        <w:rPr>
          <w:rFonts w:asciiTheme="minorEastAsia" w:hAnsiTheme="minorEastAsia"/>
          <w:color w:val="3E3E3E"/>
          <w:sz w:val="28"/>
          <w:szCs w:val="28"/>
        </w:rPr>
      </w:pPr>
      <w:r>
        <w:rPr>
          <w:rFonts w:asciiTheme="minorEastAsia" w:hAnsiTheme="minorEastAsia"/>
          <w:sz w:val="28"/>
          <w:szCs w:val="28"/>
        </w:rPr>
        <w:t>3 陈卫佐译注，德国民法典（第3版）[ Z ]，北京：法律出版社，2010.6，第409-410页。</w:t>
      </w:r>
    </w:p>
    <w:p>
      <w:pPr>
        <w:spacing w:line="360" w:lineRule="auto"/>
        <w:ind w:firstLine="560" w:firstLineChars="200"/>
        <w:jc w:val="left"/>
        <w:rPr>
          <w:rFonts w:asciiTheme="minorEastAsia" w:hAnsiTheme="minorEastAsia"/>
          <w:color w:val="3E3E3E"/>
          <w:sz w:val="28"/>
          <w:szCs w:val="28"/>
        </w:rPr>
      </w:pPr>
      <w:r>
        <w:rPr>
          <w:rFonts w:asciiTheme="minorEastAsia" w:hAnsiTheme="minorEastAsia"/>
          <w:sz w:val="28"/>
          <w:szCs w:val="28"/>
        </w:rPr>
        <w:t>4 但瑞士民法典（官方英文本）第906条第2款规定次债务人可任意向出质人或质权人为支付，但必须同时取得另一方的同意。否则，亦906条第3款，次债务人应当提存。</w:t>
      </w:r>
    </w:p>
    <w:p>
      <w:pPr>
        <w:spacing w:line="360" w:lineRule="auto"/>
        <w:ind w:firstLine="560" w:firstLineChars="200"/>
        <w:jc w:val="left"/>
        <w:rPr>
          <w:rFonts w:asciiTheme="minorEastAsia" w:hAnsiTheme="minorEastAsia"/>
          <w:sz w:val="28"/>
          <w:szCs w:val="28"/>
        </w:rPr>
      </w:pPr>
      <w:r>
        <w:rPr>
          <w:rFonts w:asciiTheme="minorEastAsia" w:hAnsiTheme="minorEastAsia"/>
          <w:sz w:val="28"/>
          <w:szCs w:val="28"/>
        </w:rPr>
        <w:t>5 参见：</w:t>
      </w:r>
      <w:r>
        <w:fldChar w:fldCharType="begin"/>
      </w:r>
      <w:r>
        <w:instrText xml:space="preserve"> HYPERLINK "http://www.court.gov.cn/shenpan-xiangqing-16095.html" </w:instrText>
      </w:r>
      <w:r>
        <w:fldChar w:fldCharType="separate"/>
      </w:r>
      <w:r>
        <w:rPr>
          <w:rStyle w:val="15"/>
          <w:rFonts w:asciiTheme="minorEastAsia" w:hAnsiTheme="minorEastAsia"/>
          <w:sz w:val="28"/>
          <w:szCs w:val="28"/>
        </w:rPr>
        <w:t>http://www.court.gov.cn/shenpan-xiangqing-16095.html</w:t>
      </w:r>
      <w:r>
        <w:rPr>
          <w:rStyle w:val="15"/>
          <w:rFonts w:asciiTheme="minorEastAsia" w:hAnsiTheme="minorEastAsia"/>
          <w:sz w:val="28"/>
          <w:szCs w:val="28"/>
        </w:rPr>
        <w:fldChar w:fldCharType="end"/>
      </w:r>
    </w:p>
    <w:p>
      <w:pPr>
        <w:spacing w:line="360" w:lineRule="auto"/>
        <w:ind w:firstLine="560" w:firstLineChars="200"/>
        <w:jc w:val="left"/>
        <w:rPr>
          <w:rFonts w:asciiTheme="minorEastAsia" w:hAnsiTheme="minorEastAsia"/>
          <w:color w:val="3E3E3E"/>
          <w:sz w:val="28"/>
          <w:szCs w:val="28"/>
        </w:rPr>
      </w:pPr>
    </w:p>
    <w:p>
      <w:pPr>
        <w:rPr>
          <w:b/>
        </w:rPr>
      </w:pPr>
      <w:r>
        <w:rPr>
          <w:b/>
        </w:rPr>
        <w:t>转自：金杜说法  作者：金杜律师事务所 吴俊</w:t>
      </w:r>
    </w:p>
    <w:p>
      <w:pPr>
        <w:pStyle w:val="3"/>
        <w:jc w:val="center"/>
      </w:pPr>
      <w:bookmarkStart w:id="218" w:name="_Toc446330653"/>
      <w:bookmarkStart w:id="219" w:name="_Toc446324715"/>
      <w:bookmarkStart w:id="220" w:name="_Toc446322512"/>
      <w:bookmarkStart w:id="221" w:name="_Toc446330756"/>
      <w:bookmarkStart w:id="222" w:name="_Toc446326784"/>
      <w:r>
        <w:rPr>
          <w:rFonts w:hint="eastAsia"/>
        </w:rPr>
        <w:t>融资租入固定资产能否适用“双加”优惠？</w:t>
      </w:r>
      <w:bookmarkEnd w:id="218"/>
      <w:bookmarkEnd w:id="219"/>
      <w:bookmarkEnd w:id="220"/>
      <w:bookmarkEnd w:id="221"/>
      <w:bookmarkEnd w:id="222"/>
    </w:p>
    <w:p>
      <w:pPr>
        <w:spacing w:line="600" w:lineRule="exact"/>
        <w:ind w:firstLine="560" w:firstLineChars="200"/>
        <w:rPr>
          <w:rFonts w:asciiTheme="minorEastAsia" w:hAnsiTheme="minorEastAsia"/>
          <w:sz w:val="28"/>
          <w:szCs w:val="28"/>
        </w:rPr>
      </w:pPr>
      <w:r>
        <w:rPr>
          <w:rFonts w:asciiTheme="minorEastAsia" w:hAnsiTheme="minorEastAsia"/>
          <w:sz w:val="28"/>
          <w:szCs w:val="28"/>
        </w:rPr>
        <w:t>某生物药品制造企业以融资租赁方式租入一台专门用于研发的设备,每年计提折旧,租赁期满后设备所有权转移给企业。该企业认为自己是《国家税务总局关于固定资产加速折旧税收政策有关问题的公告》(国家税务总局公告2014年第64号)列举的六大行业之一,设备又是专门用于研发,应该既可以享受固定资产加速折旧优惠政策又可以享受研发费用加计扣除税收优惠。那么,企业融资租入的固定资产能否同时享受加速折旧和加计扣除税收优惠呢?</w:t>
      </w:r>
    </w:p>
    <w:p>
      <w:pPr>
        <w:spacing w:line="600" w:lineRule="exact"/>
        <w:ind w:firstLine="560" w:firstLineChars="200"/>
        <w:rPr>
          <w:rFonts w:asciiTheme="minorEastAsia" w:hAnsiTheme="minorEastAsia"/>
          <w:sz w:val="28"/>
          <w:szCs w:val="28"/>
        </w:rPr>
      </w:pPr>
    </w:p>
    <w:p>
      <w:pPr>
        <w:spacing w:line="600" w:lineRule="exact"/>
        <w:ind w:firstLine="562" w:firstLineChars="200"/>
        <w:rPr>
          <w:rFonts w:asciiTheme="minorEastAsia" w:hAnsiTheme="minorEastAsia"/>
          <w:b/>
          <w:sz w:val="28"/>
          <w:szCs w:val="28"/>
        </w:rPr>
      </w:pPr>
      <w:r>
        <w:rPr>
          <w:rFonts w:asciiTheme="minorEastAsia" w:hAnsiTheme="minorEastAsia"/>
          <w:b/>
          <w:sz w:val="28"/>
          <w:szCs w:val="28"/>
        </w:rPr>
        <w:t>加速折旧</w:t>
      </w:r>
    </w:p>
    <w:p>
      <w:pPr>
        <w:spacing w:line="600" w:lineRule="exact"/>
        <w:ind w:firstLine="560" w:firstLineChars="200"/>
        <w:rPr>
          <w:rFonts w:asciiTheme="minorEastAsia" w:hAnsiTheme="minorEastAsia"/>
          <w:sz w:val="28"/>
          <w:szCs w:val="28"/>
        </w:rPr>
      </w:pPr>
      <w:r>
        <w:rPr>
          <w:rFonts w:asciiTheme="minorEastAsia" w:hAnsiTheme="minorEastAsia"/>
          <w:sz w:val="28"/>
          <w:szCs w:val="28"/>
        </w:rPr>
        <w:t>《国家税务总局关于固定资产加速折旧税收政策有关问题的公告》(国家税务总局公告2014年第64号)和《国家税务总局关于进一步完善固定资产加速折旧企业所得税政策有关问题的公告》(国家税务总局公告2015年第68号)分别规定,六大行业和四大领域重点行业,2014年1月1日和2015年1月1日后新购进的固定资产允许按不低于企业所得税法规定折旧年限的60%缩短折旧年限,或选择采取双倍余额递减法或年数总和法进行加速折旧。</w:t>
      </w:r>
    </w:p>
    <w:p>
      <w:pPr>
        <w:spacing w:line="600" w:lineRule="exact"/>
        <w:ind w:firstLine="560" w:firstLineChars="200"/>
        <w:rPr>
          <w:rFonts w:asciiTheme="minorEastAsia" w:hAnsiTheme="minorEastAsia"/>
          <w:sz w:val="28"/>
          <w:szCs w:val="28"/>
        </w:rPr>
      </w:pPr>
      <w:r>
        <w:rPr>
          <w:rFonts w:asciiTheme="minorEastAsia" w:hAnsiTheme="minorEastAsia"/>
          <w:sz w:val="28"/>
          <w:szCs w:val="28"/>
        </w:rPr>
        <w:t>这里需注意的是“购进”,即购买,不是租赁。即使融资租入的固定资产最后一般所有权都会转移到承租方,但它也是租赁,不是“购进”,不能享受加速折旧优惠政策。</w:t>
      </w:r>
    </w:p>
    <w:p>
      <w:pPr>
        <w:spacing w:line="600" w:lineRule="exact"/>
        <w:ind w:firstLine="560" w:firstLineChars="200"/>
        <w:rPr>
          <w:rFonts w:asciiTheme="minorEastAsia" w:hAnsiTheme="minorEastAsia"/>
          <w:sz w:val="28"/>
          <w:szCs w:val="28"/>
        </w:rPr>
      </w:pPr>
    </w:p>
    <w:p>
      <w:pPr>
        <w:spacing w:line="600" w:lineRule="exact"/>
        <w:ind w:firstLine="560" w:firstLineChars="200"/>
        <w:rPr>
          <w:rFonts w:asciiTheme="minorEastAsia" w:hAnsiTheme="minorEastAsia"/>
          <w:sz w:val="28"/>
          <w:szCs w:val="28"/>
        </w:rPr>
      </w:pPr>
      <w:r>
        <w:rPr>
          <w:rFonts w:asciiTheme="minorEastAsia" w:hAnsiTheme="minorEastAsia"/>
          <w:sz w:val="28"/>
          <w:szCs w:val="28"/>
        </w:rPr>
        <w:t>2015年11月11日,国家税务总局所得税司相关负责人在“固定资产加速折旧政策”在线访谈中明确指出:“购进指以货币购进的固定资产和自行建造的固定资产。融资租赁的固定资产不属于购进的范畴,因此,不能适用本次加速折旧政策。”</w:t>
      </w:r>
    </w:p>
    <w:p>
      <w:pPr>
        <w:spacing w:line="600" w:lineRule="exact"/>
        <w:ind w:firstLine="560" w:firstLineChars="200"/>
        <w:rPr>
          <w:rFonts w:asciiTheme="minorEastAsia" w:hAnsiTheme="minorEastAsia"/>
          <w:sz w:val="28"/>
          <w:szCs w:val="28"/>
        </w:rPr>
      </w:pPr>
    </w:p>
    <w:p>
      <w:pPr>
        <w:spacing w:line="600" w:lineRule="exact"/>
        <w:ind w:firstLine="562" w:firstLineChars="200"/>
        <w:rPr>
          <w:rFonts w:asciiTheme="minorEastAsia" w:hAnsiTheme="minorEastAsia"/>
          <w:b/>
          <w:sz w:val="28"/>
          <w:szCs w:val="28"/>
        </w:rPr>
      </w:pPr>
      <w:r>
        <w:rPr>
          <w:rFonts w:asciiTheme="minorEastAsia" w:hAnsiTheme="minorEastAsia"/>
          <w:b/>
          <w:sz w:val="28"/>
          <w:szCs w:val="28"/>
        </w:rPr>
        <w:t>加计扣除</w:t>
      </w:r>
    </w:p>
    <w:p>
      <w:pPr>
        <w:spacing w:line="600" w:lineRule="exact"/>
        <w:ind w:firstLine="560" w:firstLineChars="200"/>
        <w:rPr>
          <w:rFonts w:asciiTheme="minorEastAsia" w:hAnsiTheme="minorEastAsia"/>
          <w:sz w:val="28"/>
          <w:szCs w:val="28"/>
        </w:rPr>
      </w:pPr>
      <w:r>
        <w:rPr>
          <w:rFonts w:asciiTheme="minorEastAsia" w:hAnsiTheme="minorEastAsia"/>
          <w:sz w:val="28"/>
          <w:szCs w:val="28"/>
        </w:rPr>
        <w:t>1.融资租入固定资产的折旧。《国家税务总局关于印发〈企业研究开发费用税前扣除管理办法(试行)〉的通知》(国税发〔2008〕116号)第四条规定:“专门用于研发活动的仪器、设备的折旧费或租赁费。”《财政部、国家税务总局、科技部关于完善研究开发费用税前加计扣除政策的通知》(财税〔2015〕119号)第一条规定:“用于研发活动的仪器、设备的折旧费。”新旧法规都没有区分购入固定资产还是融资租入固定资产,由于融资租入固定资产在承租方计提折旧,因此符合条件的融资租入固定资产的折旧可以加计扣除。</w:t>
      </w:r>
    </w:p>
    <w:p>
      <w:pPr>
        <w:spacing w:line="600" w:lineRule="exact"/>
        <w:ind w:firstLine="560" w:firstLineChars="200"/>
        <w:rPr>
          <w:rFonts w:asciiTheme="minorEastAsia" w:hAnsiTheme="minorEastAsia"/>
          <w:sz w:val="28"/>
          <w:szCs w:val="28"/>
        </w:rPr>
      </w:pPr>
      <w:r>
        <w:rPr>
          <w:rFonts w:asciiTheme="minorEastAsia" w:hAnsiTheme="minorEastAsia"/>
          <w:sz w:val="28"/>
          <w:szCs w:val="28"/>
        </w:rPr>
        <w:t>2.融资租入固定资产的租赁费。国税发〔2008〕116号文件第四条没有区分经营租入固定资产还是融资租入固定资产,但财税〔2015〕119号文件第一条规定:“……通过经营租赁方式租入的用于研发活动的仪器、设备租赁费。”特别强调了“经营租赁方式租入”的固定资产,排除了融资租入的固定资产。由于融资租入固定资产的折旧已经可以加计扣除,租赁费就不能再加计扣除了。</w:t>
      </w:r>
    </w:p>
    <w:p>
      <w:pPr>
        <w:spacing w:line="600" w:lineRule="exact"/>
        <w:ind w:firstLine="560" w:firstLineChars="200"/>
        <w:rPr>
          <w:rFonts w:asciiTheme="minorEastAsia" w:hAnsiTheme="minorEastAsia"/>
          <w:sz w:val="28"/>
          <w:szCs w:val="28"/>
        </w:rPr>
      </w:pPr>
      <w:r>
        <w:rPr>
          <w:rFonts w:asciiTheme="minorEastAsia" w:hAnsiTheme="minorEastAsia"/>
          <w:sz w:val="28"/>
          <w:szCs w:val="28"/>
        </w:rPr>
        <w:t>综上所述,企业融资租入的固定资产不能加速折旧,但符合条件的折旧额可以加计扣除。</w:t>
      </w:r>
    </w:p>
    <w:p>
      <w:pPr>
        <w:spacing w:line="600" w:lineRule="exact"/>
        <w:ind w:firstLine="560" w:firstLineChars="200"/>
        <w:rPr>
          <w:rFonts w:asciiTheme="minorEastAsia" w:hAnsiTheme="minorEastAsia"/>
          <w:sz w:val="28"/>
          <w:szCs w:val="28"/>
        </w:rPr>
      </w:pPr>
    </w:p>
    <w:p>
      <w:pPr>
        <w:rPr>
          <w:b/>
        </w:rPr>
      </w:pPr>
      <w:r>
        <w:rPr>
          <w:b/>
        </w:rPr>
        <w:t>转自：中国税务报</w:t>
      </w:r>
    </w:p>
    <w:p>
      <w:pPr>
        <w:pStyle w:val="3"/>
        <w:jc w:val="center"/>
        <w:rPr>
          <w:rFonts w:asciiTheme="minorEastAsia" w:hAnsiTheme="minorEastAsia" w:eastAsiaTheme="minorEastAsia"/>
        </w:rPr>
      </w:pPr>
      <w:bookmarkStart w:id="223" w:name="_Toc446322513"/>
      <w:bookmarkStart w:id="224" w:name="_Toc446324716"/>
      <w:bookmarkStart w:id="225" w:name="_Toc446330757"/>
      <w:bookmarkStart w:id="226" w:name="_Toc446330654"/>
      <w:bookmarkStart w:id="227" w:name="_Toc446326785"/>
      <w:r>
        <w:rPr>
          <w:rFonts w:hint="eastAsia" w:asciiTheme="minorEastAsia" w:hAnsiTheme="minorEastAsia" w:eastAsiaTheme="minorEastAsia"/>
        </w:rPr>
        <w:t>P2P网贷平台与融资租赁合作模式的五大风险</w:t>
      </w:r>
      <w:bookmarkEnd w:id="223"/>
      <w:bookmarkEnd w:id="224"/>
      <w:bookmarkEnd w:id="225"/>
      <w:bookmarkEnd w:id="226"/>
      <w:bookmarkEnd w:id="227"/>
    </w:p>
    <w:p>
      <w:pPr>
        <w:spacing w:line="360" w:lineRule="auto"/>
        <w:rPr>
          <w:rFonts w:asciiTheme="minorEastAsia" w:hAnsiTheme="minorEastAsia"/>
          <w:sz w:val="28"/>
          <w:szCs w:val="28"/>
        </w:rPr>
      </w:pPr>
      <w:r>
        <w:rPr>
          <w:rFonts w:asciiTheme="minorEastAsia" w:hAnsiTheme="minorEastAsia"/>
          <w:sz w:val="28"/>
          <w:szCs w:val="28"/>
        </w:rPr>
        <w:t>21世纪宏观研究院认为，通过P2P网贷平台与融资租赁公司的合作，更为广泛地满足了投资人的投资需求，满足了多方的利益。而融资租赁作为连接金融产业与实体产业的重要桥梁，随着国家一大批重点支持基础设施建设将实施，将以独特的经营方式，成为中国经济保持平稳增长的强力支撑，P2P网贷与融资租赁的合作将进一步深入、扩大。</w:t>
      </w:r>
    </w:p>
    <w:p>
      <w:pPr>
        <w:spacing w:line="360" w:lineRule="auto"/>
        <w:rPr>
          <w:rFonts w:asciiTheme="minorEastAsia" w:hAnsiTheme="minorEastAsia"/>
          <w:sz w:val="28"/>
          <w:szCs w:val="28"/>
        </w:rPr>
      </w:pPr>
      <w:r>
        <w:rPr>
          <w:rFonts w:asciiTheme="minorEastAsia" w:hAnsiTheme="minorEastAsia"/>
          <w:sz w:val="28"/>
          <w:szCs w:val="28"/>
        </w:rPr>
        <w:t>　　然而，由于P2P网贷平台和融资租赁的合作仍处在探索阶段，因此存在以下风险：</w:t>
      </w:r>
    </w:p>
    <w:p>
      <w:pPr>
        <w:spacing w:line="360" w:lineRule="auto"/>
        <w:rPr>
          <w:rFonts w:asciiTheme="minorEastAsia" w:hAnsiTheme="minorEastAsia"/>
          <w:sz w:val="28"/>
          <w:szCs w:val="28"/>
        </w:rPr>
      </w:pPr>
      <w:r>
        <w:rPr>
          <w:rStyle w:val="14"/>
          <w:rFonts w:asciiTheme="minorEastAsia" w:hAnsiTheme="minorEastAsia"/>
          <w:color w:val="FF4C41"/>
          <w:sz w:val="28"/>
          <w:szCs w:val="28"/>
        </w:rPr>
        <w:t>　　首先，监管风险。</w:t>
      </w:r>
      <w:r>
        <w:rPr>
          <w:rFonts w:asciiTheme="minorEastAsia" w:hAnsiTheme="minorEastAsia"/>
          <w:sz w:val="28"/>
          <w:szCs w:val="28"/>
        </w:rPr>
        <w:t>由于P2P网贷行业的监管细则尚未出台，P2P网贷平台与融资租赁公司合作的具体业务形态、模式尚存在不确定的监管风险。</w:t>
      </w:r>
    </w:p>
    <w:p>
      <w:pPr>
        <w:spacing w:line="360" w:lineRule="auto"/>
        <w:rPr>
          <w:rFonts w:asciiTheme="minorEastAsia" w:hAnsiTheme="minorEastAsia"/>
          <w:sz w:val="28"/>
          <w:szCs w:val="28"/>
        </w:rPr>
      </w:pPr>
      <w:r>
        <w:rPr>
          <w:rStyle w:val="14"/>
          <w:rFonts w:asciiTheme="minorEastAsia" w:hAnsiTheme="minorEastAsia"/>
          <w:color w:val="FF4C41"/>
          <w:sz w:val="28"/>
          <w:szCs w:val="28"/>
        </w:rPr>
        <w:t>　　其次，法律风险。</w:t>
      </w:r>
      <w:r>
        <w:rPr>
          <w:rFonts w:asciiTheme="minorEastAsia" w:hAnsiTheme="minorEastAsia"/>
          <w:sz w:val="28"/>
          <w:szCs w:val="28"/>
        </w:rPr>
        <w:t>现有法规对融资租赁公司资金来源边界未作清晰阐述，目前融资租赁与P2P网贷平台的合作模式仍在初步探索阶段，业务可能存在一定的法律风险。此外，融资租赁合同的有效性、合规性也是P2P网贷平台与融资租赁公司合作时需要注意的法律风险。</w:t>
      </w:r>
    </w:p>
    <w:p>
      <w:pPr>
        <w:spacing w:line="360" w:lineRule="auto"/>
        <w:rPr>
          <w:rFonts w:asciiTheme="minorEastAsia" w:hAnsiTheme="minorEastAsia"/>
          <w:sz w:val="28"/>
          <w:szCs w:val="28"/>
        </w:rPr>
      </w:pPr>
      <w:r>
        <w:rPr>
          <w:rStyle w:val="14"/>
          <w:rFonts w:asciiTheme="minorEastAsia" w:hAnsiTheme="minorEastAsia"/>
          <w:color w:val="FF4C41"/>
          <w:sz w:val="28"/>
          <w:szCs w:val="28"/>
        </w:rPr>
        <w:t>　　第三，期限错配风险。</w:t>
      </w:r>
      <w:r>
        <w:rPr>
          <w:rFonts w:asciiTheme="minorEastAsia" w:hAnsiTheme="minorEastAsia"/>
          <w:sz w:val="28"/>
          <w:szCs w:val="28"/>
        </w:rPr>
        <w:t>期限错配就是将一笔长期贷款分成数笔短期贷款，风险在于若平台缺少后续投资资金，需要平台进行垫付，容易造成资金链断裂。一般融资租赁项目的期限都较长，通常为3年以上，而P2P网贷平台融资租赁产品大部分都在6个月到1年之间。由于P2P网贷投资人偏好短期投资，因此除了平台尽量选择短期项目外，存在平台拆分项目期限风险。</w:t>
      </w:r>
    </w:p>
    <w:p>
      <w:pPr>
        <w:spacing w:line="360" w:lineRule="auto"/>
        <w:rPr>
          <w:rFonts w:asciiTheme="minorEastAsia" w:hAnsiTheme="minorEastAsia"/>
          <w:sz w:val="28"/>
          <w:szCs w:val="28"/>
        </w:rPr>
      </w:pPr>
      <w:r>
        <w:rPr>
          <w:rFonts w:asciiTheme="minorEastAsia" w:hAnsiTheme="minorEastAsia"/>
          <w:sz w:val="28"/>
          <w:szCs w:val="28"/>
        </w:rPr>
        <w:t>　　</w:t>
      </w:r>
      <w:r>
        <w:rPr>
          <w:rStyle w:val="14"/>
          <w:rFonts w:asciiTheme="minorEastAsia" w:hAnsiTheme="minorEastAsia"/>
          <w:color w:val="FF4C41"/>
          <w:sz w:val="28"/>
          <w:szCs w:val="28"/>
        </w:rPr>
        <w:t>第四，违约风险，包括承租人违约及合作融资租赁公司违约。</w:t>
      </w:r>
      <w:r>
        <w:rPr>
          <w:rFonts w:asciiTheme="minorEastAsia" w:hAnsiTheme="minorEastAsia"/>
          <w:sz w:val="28"/>
          <w:szCs w:val="28"/>
        </w:rPr>
        <w:t>承租人违约风险包括拖欠租金、生产经营困难或破产等。在经济下行之中，融资租赁公司违约风险也不容忽视，融资租赁与银行贷款不同，融资租赁公司更看重租赁物使用过程中产生的收益是否足够支付租金。由于融资租赁公司在租赁期限内拥有租赁物的所有权，所以融资租赁公司往往不需要承租人信用担保，如承租人发生违约，租赁物变现较为困难且处理周期较长，融资租赁公司需要负责回购担保。</w:t>
      </w:r>
    </w:p>
    <w:p>
      <w:pPr>
        <w:spacing w:line="360" w:lineRule="auto"/>
        <w:rPr>
          <w:rFonts w:asciiTheme="minorEastAsia" w:hAnsiTheme="minorEastAsia"/>
          <w:sz w:val="28"/>
          <w:szCs w:val="28"/>
        </w:rPr>
      </w:pPr>
    </w:p>
    <w:p>
      <w:pPr>
        <w:spacing w:line="360" w:lineRule="auto"/>
        <w:rPr>
          <w:rFonts w:asciiTheme="minorEastAsia" w:hAnsiTheme="minorEastAsia"/>
          <w:sz w:val="28"/>
          <w:szCs w:val="28"/>
        </w:rPr>
      </w:pPr>
      <w:r>
        <w:rPr>
          <w:rStyle w:val="14"/>
          <w:rFonts w:asciiTheme="minorEastAsia" w:hAnsiTheme="minorEastAsia"/>
          <w:color w:val="FF4C41"/>
          <w:sz w:val="28"/>
          <w:szCs w:val="28"/>
        </w:rPr>
        <w:t>　　第五，融资租赁公司放款流程不规范，公司员工进行违规操作等都可能产生较严重的逾期违约事件，对P2P网贷平台声誉造成较为严重的负面影响，例如，贷帮网与人人聚财都曾受累于前海融资租赁逾期影响。</w:t>
      </w:r>
      <w:r>
        <w:rPr>
          <w:rFonts w:asciiTheme="minorEastAsia" w:hAnsiTheme="minorEastAsia"/>
          <w:sz w:val="28"/>
          <w:szCs w:val="28"/>
        </w:rPr>
        <w:t>P2P网贷平台与融资租赁公司合作时，应当加强对融资租赁公司实力的调查以及承租方支付能力审查。通过核对租赁物发票、采购合同、登记权证、付款凭证、产权转移凭证等证明材料，对租赁物的权属及真实性进行审核，并加强对融资租赁项目的贷后风控。</w:t>
      </w:r>
    </w:p>
    <w:p>
      <w:pPr>
        <w:spacing w:line="360" w:lineRule="auto"/>
        <w:rPr>
          <w:rFonts w:asciiTheme="minorEastAsia" w:hAnsiTheme="minorEastAsia"/>
          <w:sz w:val="28"/>
          <w:szCs w:val="28"/>
        </w:rPr>
      </w:pPr>
    </w:p>
    <w:p>
      <w:pPr>
        <w:spacing w:line="360" w:lineRule="auto"/>
        <w:ind w:firstLine="570"/>
        <w:rPr>
          <w:rFonts w:asciiTheme="minorEastAsia" w:hAnsiTheme="minorEastAsia"/>
          <w:sz w:val="28"/>
          <w:szCs w:val="28"/>
        </w:rPr>
      </w:pPr>
      <w:r>
        <w:rPr>
          <w:rFonts w:asciiTheme="minorEastAsia" w:hAnsiTheme="minorEastAsia"/>
          <w:sz w:val="28"/>
          <w:szCs w:val="28"/>
        </w:rPr>
        <w:t>从监管角度来看，主要是防范P2P网贷平台融资租赁产品涉及资金池及自融的风险。强调平台信息中介定位，资金存管于银行并且平台资金和用户资金分账处理，由银行出具存管报告，相应的审计机构出具审计报告，并将自融放入负面清单。</w:t>
      </w:r>
    </w:p>
    <w:p>
      <w:pPr>
        <w:spacing w:line="360" w:lineRule="auto"/>
        <w:ind w:firstLine="570"/>
        <w:rPr>
          <w:rFonts w:asciiTheme="minorEastAsia" w:hAnsiTheme="minorEastAsia"/>
          <w:sz w:val="28"/>
          <w:szCs w:val="28"/>
        </w:rPr>
      </w:pPr>
    </w:p>
    <w:p>
      <w:pPr>
        <w:rPr>
          <w:b/>
        </w:rPr>
      </w:pPr>
      <w:r>
        <w:rPr>
          <w:b/>
        </w:rPr>
        <w:t>转自：境外融资</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00007A87" w:usb1="80000000" w:usb2="00000008" w:usb3="00000000" w:csb0="400001FF" w:csb1="FFFF0000"/>
  </w:font>
  <w:font w:name="Helvetica Neue">
    <w:altName w:val="Arial Unicode MS"/>
    <w:panose1 w:val="00000000000000000000"/>
    <w:charset w:val="00"/>
    <w:family w:val="auto"/>
    <w:pitch w:val="default"/>
    <w:sig w:usb0="00000000" w:usb1="00000000" w:usb2="00000000"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 w:name="inherit">
    <w:altName w:val="Courier New"/>
    <w:panose1 w:val="00000000000000000000"/>
    <w:charset w:val="00"/>
    <w:family w:val="roman"/>
    <w:pitch w:val="default"/>
    <w:sig w:usb0="00000000" w:usb1="00000000" w:usb2="00000000" w:usb3="00000000" w:csb0="00000000" w:csb1="00000000"/>
  </w:font>
  <w:font w:name="Arial">
    <w:panose1 w:val="020B0604020202020204"/>
    <w:charset w:val="00"/>
    <w:family w:val="auto"/>
    <w:pitch w:val="default"/>
    <w:sig w:usb0="00007A87" w:usb1="80000000" w:usb2="00000008" w:usb3="00000000" w:csb0="400001FF" w:csb1="FFFF0000"/>
  </w:font>
  <w:font w:name="Arial Unicode MS">
    <w:panose1 w:val="020B0604020202020204"/>
    <w:charset w:val="86"/>
    <w:family w:val="auto"/>
    <w:pitch w:val="default"/>
    <w:sig w:usb0="FFFFFFFF" w:usb1="E9FFFFFF" w:usb2="0000003F" w:usb3="00000000" w:csb0="603F01FF" w:csb1="FFFF0000"/>
  </w:font>
  <w:font w:name="Courier New">
    <w:panose1 w:val="02070309020205020404"/>
    <w:charset w:val="00"/>
    <w:family w:val="auto"/>
    <w:pitch w:val="default"/>
    <w:sig w:usb0="00007A87" w:usb1="80000000" w:usb2="00000008" w:usb3="00000000" w:csb0="400001FF" w:csb1="FFFF0000"/>
  </w:font>
  <w:font w:name="Arial">
    <w:panose1 w:val="020B0604020202020204"/>
    <w:charset w:val="00"/>
    <w:family w:val="swiss"/>
    <w:pitch w:val="default"/>
    <w:sig w:usb0="00007A87" w:usb1="80000000" w:usb2="00000008"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40940"/>
    </w:sdtPr>
    <w:sdtEndPr>
      <w:rPr>
        <w:rFonts w:asciiTheme="minorEastAsia" w:hAnsiTheme="minorEastAsia"/>
        <w:b/>
        <w:sz w:val="24"/>
        <w:szCs w:val="24"/>
      </w:rPr>
    </w:sdtEndPr>
    <w:sdtContent>
      <w:p>
        <w:pPr>
          <w:pStyle w:val="8"/>
          <w:jc w:val="right"/>
          <w:rPr>
            <w:rFonts w:asciiTheme="minorEastAsia" w:hAnsiTheme="minorEastAsia"/>
            <w:b/>
            <w:sz w:val="24"/>
            <w:szCs w:val="24"/>
          </w:rPr>
        </w:pPr>
        <w:r>
          <w:rPr>
            <w:rFonts w:asciiTheme="minorEastAsia" w:hAnsiTheme="minorEastAsia"/>
            <w:b/>
            <w:sz w:val="24"/>
            <w:szCs w:val="24"/>
          </w:rPr>
          <w:fldChar w:fldCharType="begin"/>
        </w:r>
        <w:r>
          <w:rPr>
            <w:rFonts w:asciiTheme="minorEastAsia" w:hAnsiTheme="minorEastAsia"/>
            <w:b/>
            <w:sz w:val="24"/>
            <w:szCs w:val="24"/>
          </w:rPr>
          <w:instrText xml:space="preserve"> PAGE   \* MERGEFORMAT </w:instrText>
        </w:r>
        <w:r>
          <w:rPr>
            <w:rFonts w:asciiTheme="minorEastAsia" w:hAnsiTheme="minorEastAsia"/>
            <w:b/>
            <w:sz w:val="24"/>
            <w:szCs w:val="24"/>
          </w:rPr>
          <w:fldChar w:fldCharType="separate"/>
        </w:r>
        <w:r>
          <w:rPr>
            <w:rFonts w:asciiTheme="minorEastAsia" w:hAnsiTheme="minorEastAsia"/>
            <w:b/>
            <w:sz w:val="24"/>
            <w:szCs w:val="24"/>
            <w:lang w:val="zh-CN"/>
          </w:rPr>
          <w:t>4</w:t>
        </w:r>
        <w:r>
          <w:rPr>
            <w:rFonts w:asciiTheme="minorEastAsia" w:hAnsiTheme="minorEastAsia"/>
            <w:b/>
            <w:sz w:val="24"/>
            <w:szCs w:val="24"/>
          </w:rPr>
          <w:fldChar w:fldCharType="end"/>
        </w:r>
      </w:p>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9"/>
      <w:jc w:val="left"/>
    </w:pPr>
    <w:r>
      <w:rPr>
        <w:rFonts w:hint="eastAsia"/>
      </w:rPr>
      <w:drawing>
        <wp:inline distT="0" distB="0" distL="0" distR="0">
          <wp:extent cx="2676525" cy="390525"/>
          <wp:effectExtent l="19050" t="0" r="0" b="0"/>
          <wp:docPr id="3"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图片2"/>
                  <pic:cNvPicPr>
                    <a:picLocks noChangeAspect="1" noChangeArrowheads="1"/>
                  </pic:cNvPicPr>
                </pic:nvPicPr>
                <pic:blipFill>
                  <a:blip r:embed="rId1"/>
                  <a:srcRect/>
                  <a:stretch>
                    <a:fillRect/>
                  </a:stretch>
                </pic:blipFill>
                <pic:spPr>
                  <a:xfrm>
                    <a:off x="0" y="0"/>
                    <a:ext cx="2673985" cy="390154"/>
                  </a:xfrm>
                  <a:prstGeom prst="rect">
                    <a:avLst/>
                  </a:prstGeom>
                  <a:noFill/>
                  <a:ln w="9525">
                    <a:noFill/>
                    <a:miter lim="800000"/>
                    <a:headEnd/>
                    <a:tailEnd/>
                  </a:ln>
                </pic:spPr>
              </pic:pic>
            </a:graphicData>
          </a:graphic>
        </wp:inline>
      </w:drawing>
    </w:r>
  </w:p>
  <w:p>
    <w:pPr>
      <w:pStyle w:val="9"/>
    </w:pPr>
    <w:r>
      <w:pict>
        <v:line id="直线 4" o:spid="_x0000_s1025" o:spt="20" style="position:absolute;left:0pt;flip:y;margin-left:-1.85pt;margin-top:12.45pt;height:0.1pt;width:417.9pt;z-index:251660288;mso-width-relative:page;mso-height-relative:page;" stroked="t" coordsize="21600,21600">
          <v:path arrowok="t"/>
          <v:fill focussize="0,0"/>
          <v:stroke weight="1.25pt" color="#739CC3"/>
          <v:imagedata o:title=""/>
          <o:lock v:ext="edit"/>
        </v:lin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BB28C6"/>
    <w:rsid w:val="0006466F"/>
    <w:rsid w:val="001143C1"/>
    <w:rsid w:val="0014115A"/>
    <w:rsid w:val="00151A6C"/>
    <w:rsid w:val="00177EF2"/>
    <w:rsid w:val="00191660"/>
    <w:rsid w:val="001B4EEC"/>
    <w:rsid w:val="00200972"/>
    <w:rsid w:val="00222422"/>
    <w:rsid w:val="00223DF4"/>
    <w:rsid w:val="00276669"/>
    <w:rsid w:val="00277125"/>
    <w:rsid w:val="002B1962"/>
    <w:rsid w:val="002C5C3A"/>
    <w:rsid w:val="002E1A5A"/>
    <w:rsid w:val="00311A4F"/>
    <w:rsid w:val="00324113"/>
    <w:rsid w:val="00352728"/>
    <w:rsid w:val="0039455D"/>
    <w:rsid w:val="003C1FD7"/>
    <w:rsid w:val="00455404"/>
    <w:rsid w:val="0046576B"/>
    <w:rsid w:val="0048480B"/>
    <w:rsid w:val="00490CB9"/>
    <w:rsid w:val="00536F73"/>
    <w:rsid w:val="005932BD"/>
    <w:rsid w:val="005A0E3D"/>
    <w:rsid w:val="005D7F7F"/>
    <w:rsid w:val="00606FCB"/>
    <w:rsid w:val="00611FC3"/>
    <w:rsid w:val="00636C89"/>
    <w:rsid w:val="00640659"/>
    <w:rsid w:val="00641F91"/>
    <w:rsid w:val="00654AFF"/>
    <w:rsid w:val="006A257D"/>
    <w:rsid w:val="006B1DAF"/>
    <w:rsid w:val="006C161F"/>
    <w:rsid w:val="006E4CCF"/>
    <w:rsid w:val="006F1B07"/>
    <w:rsid w:val="00715867"/>
    <w:rsid w:val="007C7F7A"/>
    <w:rsid w:val="007D65C0"/>
    <w:rsid w:val="007D6B12"/>
    <w:rsid w:val="008157B5"/>
    <w:rsid w:val="00836BEF"/>
    <w:rsid w:val="00837E03"/>
    <w:rsid w:val="008D2B15"/>
    <w:rsid w:val="008E3F67"/>
    <w:rsid w:val="008E5E90"/>
    <w:rsid w:val="008E6F20"/>
    <w:rsid w:val="0094040B"/>
    <w:rsid w:val="00962C04"/>
    <w:rsid w:val="009721CF"/>
    <w:rsid w:val="009B50DD"/>
    <w:rsid w:val="009D156B"/>
    <w:rsid w:val="00A00C4E"/>
    <w:rsid w:val="00A15927"/>
    <w:rsid w:val="00A53993"/>
    <w:rsid w:val="00AE084B"/>
    <w:rsid w:val="00AE77A3"/>
    <w:rsid w:val="00AF05E0"/>
    <w:rsid w:val="00B33B5C"/>
    <w:rsid w:val="00B63AC0"/>
    <w:rsid w:val="00BB28C6"/>
    <w:rsid w:val="00BD2520"/>
    <w:rsid w:val="00C0366F"/>
    <w:rsid w:val="00C361CF"/>
    <w:rsid w:val="00C43DF8"/>
    <w:rsid w:val="00CA5896"/>
    <w:rsid w:val="00CB5758"/>
    <w:rsid w:val="00CD4F2D"/>
    <w:rsid w:val="00CE2150"/>
    <w:rsid w:val="00CF4DD6"/>
    <w:rsid w:val="00D00F9D"/>
    <w:rsid w:val="00D113B5"/>
    <w:rsid w:val="00D66CF3"/>
    <w:rsid w:val="00D67E50"/>
    <w:rsid w:val="00D76690"/>
    <w:rsid w:val="00D86F29"/>
    <w:rsid w:val="00D9090C"/>
    <w:rsid w:val="00DB21DF"/>
    <w:rsid w:val="00DB3DC0"/>
    <w:rsid w:val="00E14480"/>
    <w:rsid w:val="00E87A0D"/>
    <w:rsid w:val="00EA510D"/>
    <w:rsid w:val="00EC142D"/>
    <w:rsid w:val="00F043B5"/>
    <w:rsid w:val="00F0694B"/>
    <w:rsid w:val="00FC4751"/>
    <w:rsid w:val="00FF4C2B"/>
    <w:rsid w:val="74C112F2"/>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2"/>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3"/>
    <w:unhideWhenUsed/>
    <w:qFormat/>
    <w:uiPriority w:val="9"/>
    <w:pPr>
      <w:keepNext/>
      <w:keepLines/>
      <w:spacing w:before="260" w:after="260" w:line="416" w:lineRule="auto"/>
      <w:outlineLvl w:val="2"/>
    </w:pPr>
    <w:rPr>
      <w:b/>
      <w:bCs/>
      <w:sz w:val="32"/>
      <w:szCs w:val="32"/>
    </w:rPr>
  </w:style>
  <w:style w:type="character" w:default="1" w:styleId="13">
    <w:name w:val="Default Paragraph Font"/>
    <w:unhideWhenUsed/>
    <w:uiPriority w:val="1"/>
  </w:style>
  <w:style w:type="table" w:default="1" w:styleId="16">
    <w:name w:val="Normal Table"/>
    <w:unhideWhenUsed/>
    <w:qFormat/>
    <w:uiPriority w:val="99"/>
    <w:tblPr>
      <w:tblLayout w:type="fixed"/>
      <w:tblCellMar>
        <w:top w:w="0" w:type="dxa"/>
        <w:left w:w="108" w:type="dxa"/>
        <w:bottom w:w="0" w:type="dxa"/>
        <w:right w:w="108" w:type="dxa"/>
      </w:tblCellMar>
    </w:tblPr>
  </w:style>
  <w:style w:type="paragraph" w:styleId="5">
    <w:name w:val="toc 3"/>
    <w:basedOn w:val="1"/>
    <w:next w:val="1"/>
    <w:unhideWhenUsed/>
    <w:qFormat/>
    <w:uiPriority w:val="39"/>
    <w:pPr>
      <w:widowControl/>
      <w:spacing w:after="100" w:line="276" w:lineRule="auto"/>
      <w:ind w:left="440"/>
      <w:jc w:val="left"/>
    </w:pPr>
    <w:rPr>
      <w:kern w:val="0"/>
      <w:sz w:val="22"/>
    </w:rPr>
  </w:style>
  <w:style w:type="paragraph" w:styleId="6">
    <w:name w:val="Date"/>
    <w:basedOn w:val="1"/>
    <w:next w:val="1"/>
    <w:link w:val="25"/>
    <w:unhideWhenUsed/>
    <w:uiPriority w:val="99"/>
    <w:pPr>
      <w:ind w:left="100" w:leftChars="2500"/>
    </w:pPr>
  </w:style>
  <w:style w:type="paragraph" w:styleId="7">
    <w:name w:val="Balloon Text"/>
    <w:basedOn w:val="1"/>
    <w:link w:val="20"/>
    <w:unhideWhenUsed/>
    <w:uiPriority w:val="99"/>
    <w:rPr>
      <w:sz w:val="18"/>
      <w:szCs w:val="18"/>
    </w:rPr>
  </w:style>
  <w:style w:type="paragraph" w:styleId="8">
    <w:name w:val="footer"/>
    <w:basedOn w:val="1"/>
    <w:link w:val="18"/>
    <w:unhideWhenUsed/>
    <w:uiPriority w:val="99"/>
    <w:pPr>
      <w:tabs>
        <w:tab w:val="center" w:pos="4153"/>
        <w:tab w:val="right" w:pos="8306"/>
      </w:tabs>
      <w:snapToGrid w:val="0"/>
      <w:jc w:val="left"/>
    </w:pPr>
    <w:rPr>
      <w:sz w:val="18"/>
      <w:szCs w:val="18"/>
    </w:rPr>
  </w:style>
  <w:style w:type="paragraph" w:styleId="9">
    <w:name w:val="header"/>
    <w:basedOn w:val="1"/>
    <w:link w:val="1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spacing w:after="100" w:line="276" w:lineRule="auto"/>
      <w:jc w:val="left"/>
    </w:pPr>
    <w:rPr>
      <w:kern w:val="0"/>
      <w:sz w:val="22"/>
    </w:rPr>
  </w:style>
  <w:style w:type="paragraph" w:styleId="11">
    <w:name w:val="toc 2"/>
    <w:basedOn w:val="1"/>
    <w:next w:val="1"/>
    <w:unhideWhenUsed/>
    <w:qFormat/>
    <w:uiPriority w:val="39"/>
    <w:pPr>
      <w:widowControl/>
      <w:spacing w:after="100" w:line="276" w:lineRule="auto"/>
      <w:ind w:left="220"/>
      <w:jc w:val="left"/>
    </w:pPr>
    <w:rPr>
      <w:kern w:val="0"/>
      <w:sz w:val="22"/>
    </w:rPr>
  </w:style>
  <w:style w:type="paragraph" w:styleId="12">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14">
    <w:name w:val="Strong"/>
    <w:basedOn w:val="13"/>
    <w:qFormat/>
    <w:uiPriority w:val="22"/>
    <w:rPr>
      <w:b/>
      <w:bCs/>
    </w:rPr>
  </w:style>
  <w:style w:type="character" w:styleId="15">
    <w:name w:val="Hyperlink"/>
    <w:basedOn w:val="13"/>
    <w:unhideWhenUsed/>
    <w:uiPriority w:val="99"/>
    <w:rPr>
      <w:color w:val="0000FF" w:themeColor="hyperlink"/>
      <w:u w:val="single"/>
    </w:rPr>
  </w:style>
  <w:style w:type="character" w:customStyle="1" w:styleId="17">
    <w:name w:val="页眉 Char"/>
    <w:basedOn w:val="13"/>
    <w:link w:val="9"/>
    <w:semiHidden/>
    <w:uiPriority w:val="99"/>
    <w:rPr>
      <w:sz w:val="18"/>
      <w:szCs w:val="18"/>
    </w:rPr>
  </w:style>
  <w:style w:type="character" w:customStyle="1" w:styleId="18">
    <w:name w:val="页脚 Char"/>
    <w:basedOn w:val="13"/>
    <w:link w:val="8"/>
    <w:semiHidden/>
    <w:uiPriority w:val="99"/>
    <w:rPr>
      <w:sz w:val="18"/>
      <w:szCs w:val="18"/>
    </w:rPr>
  </w:style>
  <w:style w:type="paragraph" w:customStyle="1" w:styleId="19">
    <w:name w:val="List Paragraph"/>
    <w:basedOn w:val="1"/>
    <w:qFormat/>
    <w:uiPriority w:val="34"/>
    <w:pPr>
      <w:ind w:firstLine="420" w:firstLineChars="200"/>
    </w:pPr>
  </w:style>
  <w:style w:type="character" w:customStyle="1" w:styleId="20">
    <w:name w:val="批注框文本 Char"/>
    <w:basedOn w:val="13"/>
    <w:link w:val="7"/>
    <w:semiHidden/>
    <w:uiPriority w:val="99"/>
    <w:rPr>
      <w:sz w:val="18"/>
      <w:szCs w:val="18"/>
    </w:rPr>
  </w:style>
  <w:style w:type="character" w:customStyle="1" w:styleId="21">
    <w:name w:val="标题 1 Char"/>
    <w:basedOn w:val="13"/>
    <w:link w:val="2"/>
    <w:uiPriority w:val="9"/>
    <w:rPr>
      <w:b/>
      <w:bCs/>
      <w:kern w:val="44"/>
      <w:sz w:val="44"/>
      <w:szCs w:val="44"/>
    </w:rPr>
  </w:style>
  <w:style w:type="character" w:customStyle="1" w:styleId="22">
    <w:name w:val="标题 2 Char"/>
    <w:basedOn w:val="13"/>
    <w:link w:val="3"/>
    <w:uiPriority w:val="9"/>
    <w:rPr>
      <w:rFonts w:asciiTheme="majorHAnsi" w:hAnsiTheme="majorHAnsi" w:eastAsiaTheme="majorEastAsia" w:cstheme="majorBidi"/>
      <w:b/>
      <w:bCs/>
      <w:sz w:val="32"/>
      <w:szCs w:val="32"/>
    </w:rPr>
  </w:style>
  <w:style w:type="character" w:customStyle="1" w:styleId="23">
    <w:name w:val="标题 3 Char"/>
    <w:basedOn w:val="13"/>
    <w:link w:val="4"/>
    <w:semiHidden/>
    <w:uiPriority w:val="9"/>
    <w:rPr>
      <w:b/>
      <w:bCs/>
      <w:sz w:val="32"/>
      <w:szCs w:val="32"/>
    </w:rPr>
  </w:style>
  <w:style w:type="paragraph" w:customStyle="1" w:styleId="24">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25">
    <w:name w:val="日期 Char"/>
    <w:basedOn w:val="13"/>
    <w:link w:val="6"/>
    <w:semiHidden/>
    <w:uiPriority w:val="99"/>
  </w:style>
  <w:style w:type="paragraph" w:customStyle="1" w:styleId="26">
    <w:name w:val="custom_unionstyle"/>
    <w:basedOn w:val="1"/>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27">
    <w:name w:val="apple-tab-span"/>
    <w:basedOn w:val="13"/>
    <w:uiPriority w:val="0"/>
  </w:style>
  <w:style w:type="character" w:customStyle="1" w:styleId="28">
    <w:name w:val="tn-powered-by-xiumi"/>
    <w:basedOn w:val="13"/>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5"/>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606035-2928-434B-BD9F-5E94A7F59ED9}">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146</Pages>
  <Words>72517</Words>
  <Characters>74833</Characters>
  <Lines>568</Lines>
  <Paragraphs>160</Paragraphs>
  <TotalTime>0</TotalTime>
  <ScaleCrop>false</ScaleCrop>
  <LinksUpToDate>false</LinksUpToDate>
  <CharactersWithSpaces>80041</CharactersWithSpaces>
  <Application>WPS Office_10.1.0.5554_F1E327BC-269C-435d-A152-05C5408002CA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2015-09-30T08:11:00Z</dcterms:created>
  <dc:creator>微软用户</dc:creator>
  <cp:lastModifiedBy>Administrator</cp:lastModifiedBy>
  <cp:lastPrinted>2015-11-24T10:55:00Z</cp:lastPrinted>
  <dcterms:modified xsi:type="dcterms:W3CDTF">2016-03-21T07:40:55Z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2052-10.1.0.5554</vt:lpwstr>
  </property>
</Properties>
</file>